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2700E" w14:textId="77777777" w:rsidR="00F96AC2" w:rsidRPr="006D75F3" w:rsidRDefault="00F96AC2" w:rsidP="006D75F3">
      <w:pPr>
        <w:pStyle w:val="HeadingLevel2"/>
        <w:spacing w:after="0" w:line="20" w:lineRule="atLeast"/>
        <w:rPr>
          <w:sz w:val="20"/>
        </w:rPr>
      </w:pPr>
    </w:p>
    <w:p w14:paraId="6EA98A24" w14:textId="77777777" w:rsidR="006D75F3" w:rsidRPr="006D75F3" w:rsidRDefault="006D75F3" w:rsidP="006D75F3">
      <w:pPr>
        <w:pStyle w:val="IntroDefault"/>
        <w:spacing w:after="0" w:line="20" w:lineRule="atLeast"/>
        <w:rPr>
          <w:b/>
          <w:bCs/>
          <w:sz w:val="20"/>
        </w:rPr>
      </w:pPr>
    </w:p>
    <w:p w14:paraId="30929D98" w14:textId="77777777" w:rsidR="006D75F3" w:rsidRPr="006D75F3" w:rsidRDefault="006D75F3" w:rsidP="006D75F3">
      <w:pPr>
        <w:pStyle w:val="IntroDefault"/>
        <w:spacing w:after="0" w:line="20" w:lineRule="atLeast"/>
        <w:rPr>
          <w:b/>
          <w:bCs/>
          <w:sz w:val="20"/>
        </w:rPr>
      </w:pPr>
    </w:p>
    <w:p w14:paraId="41B0F85E" w14:textId="77777777" w:rsidR="006D75F3" w:rsidRPr="006D75F3" w:rsidRDefault="006D75F3" w:rsidP="006D75F3">
      <w:pPr>
        <w:pStyle w:val="IntroDefault"/>
        <w:spacing w:after="0" w:line="20" w:lineRule="atLeast"/>
        <w:rPr>
          <w:b/>
          <w:bCs/>
          <w:sz w:val="20"/>
        </w:rPr>
      </w:pPr>
    </w:p>
    <w:p w14:paraId="2B85C11C" w14:textId="45C26B3F" w:rsidR="006D75F3" w:rsidRPr="006D75F3" w:rsidRDefault="006D75F3" w:rsidP="006D75F3">
      <w:pPr>
        <w:pStyle w:val="IntroDefault"/>
        <w:spacing w:after="0" w:line="20" w:lineRule="atLeast"/>
        <w:rPr>
          <w:b/>
          <w:bCs/>
          <w:sz w:val="20"/>
        </w:rPr>
      </w:pPr>
    </w:p>
    <w:p w14:paraId="5F85CC6B" w14:textId="77777777" w:rsidR="006D75F3" w:rsidRPr="006D75F3" w:rsidRDefault="006D75F3" w:rsidP="006D75F3">
      <w:pPr>
        <w:pStyle w:val="IntroDefault"/>
        <w:spacing w:after="0" w:line="20" w:lineRule="atLeast"/>
        <w:rPr>
          <w:b/>
          <w:bCs/>
          <w:sz w:val="20"/>
        </w:rPr>
      </w:pPr>
    </w:p>
    <w:p w14:paraId="3E536A51" w14:textId="77777777" w:rsidR="006D75F3" w:rsidRPr="006D75F3" w:rsidRDefault="006D75F3" w:rsidP="006D75F3">
      <w:pPr>
        <w:pStyle w:val="IntroDefault"/>
        <w:spacing w:after="0" w:line="20" w:lineRule="atLeast"/>
        <w:rPr>
          <w:b/>
          <w:bCs/>
          <w:sz w:val="20"/>
        </w:rPr>
      </w:pPr>
    </w:p>
    <w:p w14:paraId="44D215DB" w14:textId="77777777" w:rsidR="006D75F3" w:rsidRPr="006D75F3" w:rsidRDefault="006D75F3" w:rsidP="006D75F3">
      <w:pPr>
        <w:pStyle w:val="IntroDefault"/>
        <w:spacing w:after="0" w:line="20" w:lineRule="atLeast"/>
        <w:rPr>
          <w:b/>
          <w:bCs/>
          <w:sz w:val="20"/>
        </w:rPr>
      </w:pPr>
    </w:p>
    <w:p w14:paraId="10187043" w14:textId="77777777" w:rsidR="006D75F3" w:rsidRPr="006D75F3" w:rsidRDefault="006D75F3" w:rsidP="006D75F3">
      <w:pPr>
        <w:pStyle w:val="IntroDefault"/>
        <w:spacing w:after="0" w:line="20" w:lineRule="atLeast"/>
        <w:rPr>
          <w:b/>
          <w:bCs/>
          <w:sz w:val="20"/>
        </w:rPr>
      </w:pPr>
    </w:p>
    <w:p w14:paraId="13E913BC" w14:textId="77777777" w:rsidR="006D75F3" w:rsidRPr="006D75F3" w:rsidRDefault="006D75F3" w:rsidP="006D75F3">
      <w:pPr>
        <w:pStyle w:val="IntroDefault"/>
        <w:spacing w:after="0" w:line="20" w:lineRule="atLeast"/>
        <w:rPr>
          <w:b/>
          <w:bCs/>
          <w:sz w:val="20"/>
        </w:rPr>
      </w:pPr>
    </w:p>
    <w:p w14:paraId="36130B7F" w14:textId="77777777" w:rsidR="006D75F3" w:rsidRPr="006D75F3" w:rsidRDefault="006D75F3" w:rsidP="006D75F3">
      <w:pPr>
        <w:pStyle w:val="IntroDefault"/>
        <w:spacing w:after="0" w:line="20" w:lineRule="atLeast"/>
        <w:rPr>
          <w:b/>
          <w:bCs/>
          <w:sz w:val="20"/>
        </w:rPr>
      </w:pPr>
    </w:p>
    <w:p w14:paraId="6AA723D6" w14:textId="55C16398" w:rsidR="006D75F3" w:rsidRPr="006D75F3" w:rsidRDefault="006D75F3" w:rsidP="006D75F3">
      <w:pPr>
        <w:pStyle w:val="IntroDefault"/>
        <w:spacing w:after="0" w:line="20" w:lineRule="atLeast"/>
        <w:jc w:val="center"/>
        <w:rPr>
          <w:b/>
          <w:bCs/>
          <w:sz w:val="20"/>
        </w:rPr>
      </w:pPr>
      <w:r w:rsidRPr="006D75F3">
        <w:rPr>
          <w:b/>
          <w:bCs/>
          <w:sz w:val="20"/>
        </w:rPr>
        <w:t>DATED</w:t>
      </w:r>
    </w:p>
    <w:p w14:paraId="3D26F755" w14:textId="77777777" w:rsidR="006D75F3" w:rsidRPr="006D75F3" w:rsidRDefault="006D75F3" w:rsidP="006D75F3">
      <w:pPr>
        <w:pStyle w:val="IntroDefault"/>
        <w:spacing w:after="0" w:line="20" w:lineRule="atLeast"/>
        <w:jc w:val="center"/>
        <w:rPr>
          <w:b/>
          <w:bCs/>
          <w:sz w:val="20"/>
        </w:rPr>
      </w:pPr>
    </w:p>
    <w:p w14:paraId="4E8E69D4" w14:textId="46434D73" w:rsidR="006D75F3" w:rsidRPr="006D75F3" w:rsidRDefault="006D75F3" w:rsidP="006D75F3">
      <w:pPr>
        <w:pStyle w:val="IntroDefault"/>
        <w:spacing w:after="0" w:line="20" w:lineRule="atLeast"/>
        <w:jc w:val="center"/>
        <w:rPr>
          <w:sz w:val="20"/>
        </w:rPr>
      </w:pPr>
      <w:r w:rsidRPr="006D75F3">
        <w:rPr>
          <w:sz w:val="20"/>
          <w:highlight w:val="yellow"/>
        </w:rPr>
        <w:t>[</w:t>
      </w:r>
      <w:r w:rsidR="00617F4B">
        <w:rPr>
          <w:sz w:val="20"/>
          <w:highlight w:val="yellow"/>
        </w:rPr>
        <w:t>1</w:t>
      </w:r>
      <w:r w:rsidR="00617F4B" w:rsidRPr="00617F4B">
        <w:rPr>
          <w:sz w:val="20"/>
          <w:highlight w:val="yellow"/>
          <w:vertAlign w:val="superscript"/>
        </w:rPr>
        <w:t>st</w:t>
      </w:r>
      <w:r w:rsidR="00617F4B">
        <w:rPr>
          <w:sz w:val="20"/>
          <w:highlight w:val="yellow"/>
        </w:rPr>
        <w:t xml:space="preserve"> August 2024</w:t>
      </w:r>
      <w:r w:rsidRPr="006D75F3">
        <w:rPr>
          <w:sz w:val="20"/>
          <w:highlight w:val="yellow"/>
        </w:rPr>
        <w:t>]</w:t>
      </w:r>
    </w:p>
    <w:p w14:paraId="7B085224" w14:textId="77777777" w:rsidR="006D75F3" w:rsidRPr="006D75F3" w:rsidRDefault="006D75F3" w:rsidP="006D75F3">
      <w:pPr>
        <w:pStyle w:val="IntroDefault"/>
        <w:spacing w:after="0" w:line="20" w:lineRule="atLeast"/>
        <w:jc w:val="center"/>
        <w:rPr>
          <w:b/>
          <w:bCs/>
          <w:sz w:val="20"/>
        </w:rPr>
      </w:pPr>
    </w:p>
    <w:p w14:paraId="75F225FF" w14:textId="61B22A59" w:rsidR="006D75F3" w:rsidRPr="006D75F3" w:rsidRDefault="006D75F3" w:rsidP="006D75F3">
      <w:pPr>
        <w:pStyle w:val="IntroDefault"/>
        <w:spacing w:after="0" w:line="20" w:lineRule="atLeast"/>
        <w:jc w:val="center"/>
        <w:rPr>
          <w:b/>
          <w:bCs/>
          <w:sz w:val="20"/>
        </w:rPr>
      </w:pPr>
      <w:r w:rsidRPr="006D75F3">
        <w:rPr>
          <w:b/>
          <w:bCs/>
          <w:sz w:val="20"/>
        </w:rPr>
        <w:t>DATA SHARING AGREEMENT</w:t>
      </w:r>
    </w:p>
    <w:p w14:paraId="5C3B156F" w14:textId="77777777" w:rsidR="006D75F3" w:rsidRPr="006D75F3" w:rsidRDefault="006D75F3" w:rsidP="006D75F3">
      <w:pPr>
        <w:pStyle w:val="IntroDefault"/>
        <w:spacing w:after="0" w:line="20" w:lineRule="atLeast"/>
        <w:jc w:val="center"/>
        <w:rPr>
          <w:b/>
          <w:bCs/>
          <w:sz w:val="20"/>
        </w:rPr>
      </w:pPr>
    </w:p>
    <w:p w14:paraId="14AC1360" w14:textId="6D2C6B0B" w:rsidR="006D75F3" w:rsidRPr="006D75F3" w:rsidRDefault="006D75F3" w:rsidP="006D75F3">
      <w:pPr>
        <w:pStyle w:val="IntroDefault"/>
        <w:spacing w:after="0" w:line="20" w:lineRule="atLeast"/>
        <w:jc w:val="center"/>
        <w:rPr>
          <w:sz w:val="20"/>
        </w:rPr>
      </w:pPr>
      <w:r w:rsidRPr="006D75F3">
        <w:rPr>
          <w:sz w:val="20"/>
        </w:rPr>
        <w:t>between</w:t>
      </w:r>
    </w:p>
    <w:p w14:paraId="73544DFF" w14:textId="77777777" w:rsidR="006D75F3" w:rsidRPr="006D75F3" w:rsidRDefault="006D75F3" w:rsidP="006D75F3">
      <w:pPr>
        <w:pStyle w:val="IntroDefault"/>
        <w:spacing w:after="0" w:line="20" w:lineRule="atLeast"/>
        <w:jc w:val="center"/>
        <w:rPr>
          <w:b/>
          <w:bCs/>
          <w:sz w:val="20"/>
        </w:rPr>
      </w:pPr>
    </w:p>
    <w:p w14:paraId="3F851F4E" w14:textId="3E412023" w:rsidR="006D75F3" w:rsidRDefault="008C2214" w:rsidP="006D75F3">
      <w:pPr>
        <w:pStyle w:val="IntroDefault"/>
        <w:spacing w:after="0" w:line="20" w:lineRule="atLeast"/>
        <w:jc w:val="center"/>
        <w:rPr>
          <w:b/>
          <w:bCs/>
          <w:sz w:val="20"/>
        </w:rPr>
      </w:pPr>
      <w:r>
        <w:rPr>
          <w:b/>
          <w:bCs/>
          <w:sz w:val="20"/>
        </w:rPr>
        <w:t xml:space="preserve">WREXHAM UNIVERSITY </w:t>
      </w:r>
    </w:p>
    <w:p w14:paraId="7709A59E" w14:textId="77777777" w:rsidR="008C2214" w:rsidRPr="006D75F3" w:rsidRDefault="008C2214" w:rsidP="006D75F3">
      <w:pPr>
        <w:pStyle w:val="IntroDefault"/>
        <w:spacing w:after="0" w:line="20" w:lineRule="atLeast"/>
        <w:jc w:val="center"/>
        <w:rPr>
          <w:b/>
          <w:bCs/>
          <w:sz w:val="20"/>
        </w:rPr>
      </w:pPr>
    </w:p>
    <w:p w14:paraId="5E8638AB" w14:textId="0B0F8F2C" w:rsidR="006D75F3" w:rsidRPr="006D75F3" w:rsidRDefault="006D75F3" w:rsidP="006D75F3">
      <w:pPr>
        <w:pStyle w:val="IntroDefault"/>
        <w:spacing w:after="0" w:line="20" w:lineRule="atLeast"/>
        <w:jc w:val="center"/>
        <w:rPr>
          <w:sz w:val="20"/>
        </w:rPr>
      </w:pPr>
      <w:r w:rsidRPr="006D75F3">
        <w:rPr>
          <w:sz w:val="20"/>
        </w:rPr>
        <w:t>and</w:t>
      </w:r>
    </w:p>
    <w:p w14:paraId="1C01A601" w14:textId="77777777" w:rsidR="006D75F3" w:rsidRPr="006D75F3" w:rsidRDefault="006D75F3" w:rsidP="006D75F3">
      <w:pPr>
        <w:pStyle w:val="IntroDefault"/>
        <w:spacing w:after="0" w:line="20" w:lineRule="atLeast"/>
        <w:jc w:val="center"/>
        <w:rPr>
          <w:b/>
          <w:bCs/>
          <w:sz w:val="20"/>
        </w:rPr>
      </w:pPr>
    </w:p>
    <w:p w14:paraId="0AE6275C" w14:textId="1E72A2A3" w:rsidR="006D75F3" w:rsidRPr="006D75F3" w:rsidRDefault="008C2214" w:rsidP="006D75F3">
      <w:pPr>
        <w:pStyle w:val="IntroDefault"/>
        <w:spacing w:after="0" w:line="20" w:lineRule="atLeast"/>
        <w:jc w:val="center"/>
        <w:rPr>
          <w:b/>
          <w:bCs/>
          <w:sz w:val="20"/>
        </w:rPr>
      </w:pPr>
      <w:r>
        <w:rPr>
          <w:b/>
          <w:bCs/>
          <w:sz w:val="20"/>
        </w:rPr>
        <w:t>WREXHAM GLYNDWR STUDENTS’ UNION LIMITED</w:t>
      </w:r>
    </w:p>
    <w:p w14:paraId="651A37C8" w14:textId="77777777" w:rsidR="006D75F3" w:rsidRPr="006D75F3" w:rsidRDefault="006D75F3" w:rsidP="006D75F3">
      <w:pPr>
        <w:pStyle w:val="IntroDefault"/>
        <w:spacing w:after="0" w:line="20" w:lineRule="atLeast"/>
        <w:rPr>
          <w:b/>
          <w:bCs/>
          <w:sz w:val="20"/>
        </w:rPr>
      </w:pPr>
    </w:p>
    <w:p w14:paraId="1BED3D16" w14:textId="77777777" w:rsidR="006D75F3" w:rsidRPr="006D75F3" w:rsidRDefault="006D75F3" w:rsidP="006D75F3">
      <w:pPr>
        <w:pStyle w:val="IntroDefault"/>
        <w:spacing w:after="0" w:line="20" w:lineRule="atLeast"/>
        <w:rPr>
          <w:b/>
          <w:bCs/>
          <w:sz w:val="20"/>
        </w:rPr>
      </w:pPr>
    </w:p>
    <w:p w14:paraId="4C02E351" w14:textId="77777777" w:rsidR="006D75F3" w:rsidRPr="006D75F3" w:rsidRDefault="006D75F3" w:rsidP="006D75F3">
      <w:pPr>
        <w:pStyle w:val="IntroDefault"/>
        <w:spacing w:after="0" w:line="20" w:lineRule="atLeast"/>
        <w:rPr>
          <w:b/>
          <w:bCs/>
          <w:sz w:val="20"/>
        </w:rPr>
      </w:pPr>
    </w:p>
    <w:p w14:paraId="585186D1" w14:textId="77777777" w:rsidR="006D75F3" w:rsidRPr="006D75F3" w:rsidRDefault="006D75F3" w:rsidP="006D75F3">
      <w:pPr>
        <w:pStyle w:val="IntroDefault"/>
        <w:spacing w:after="0" w:line="20" w:lineRule="atLeast"/>
        <w:rPr>
          <w:b/>
          <w:bCs/>
          <w:sz w:val="20"/>
        </w:rPr>
      </w:pPr>
    </w:p>
    <w:p w14:paraId="0F001268" w14:textId="77777777" w:rsidR="006D75F3" w:rsidRPr="006D75F3" w:rsidRDefault="006D75F3" w:rsidP="006D75F3">
      <w:pPr>
        <w:pStyle w:val="IntroDefault"/>
        <w:spacing w:after="0" w:line="20" w:lineRule="atLeast"/>
        <w:rPr>
          <w:b/>
          <w:bCs/>
          <w:sz w:val="20"/>
        </w:rPr>
      </w:pPr>
    </w:p>
    <w:p w14:paraId="6AE44D21" w14:textId="77777777" w:rsidR="006D75F3" w:rsidRPr="006D75F3" w:rsidRDefault="006D75F3" w:rsidP="006D75F3">
      <w:pPr>
        <w:pStyle w:val="IntroDefault"/>
        <w:spacing w:after="0" w:line="20" w:lineRule="atLeast"/>
        <w:rPr>
          <w:b/>
          <w:bCs/>
          <w:sz w:val="20"/>
        </w:rPr>
      </w:pPr>
    </w:p>
    <w:p w14:paraId="026E844D" w14:textId="77777777" w:rsidR="006D75F3" w:rsidRPr="006D75F3" w:rsidRDefault="006D75F3" w:rsidP="006D75F3">
      <w:pPr>
        <w:pStyle w:val="IntroDefault"/>
        <w:spacing w:after="0" w:line="20" w:lineRule="atLeast"/>
        <w:rPr>
          <w:b/>
          <w:bCs/>
          <w:sz w:val="20"/>
        </w:rPr>
      </w:pPr>
    </w:p>
    <w:p w14:paraId="070BC7C7" w14:textId="77777777" w:rsidR="006D75F3" w:rsidRPr="006D75F3" w:rsidRDefault="006D75F3" w:rsidP="006D75F3">
      <w:pPr>
        <w:pStyle w:val="IntroDefault"/>
        <w:spacing w:after="0" w:line="20" w:lineRule="atLeast"/>
        <w:rPr>
          <w:b/>
          <w:bCs/>
          <w:sz w:val="20"/>
        </w:rPr>
      </w:pPr>
    </w:p>
    <w:p w14:paraId="7A853E41" w14:textId="77777777" w:rsidR="006D75F3" w:rsidRPr="006D75F3" w:rsidRDefault="006D75F3" w:rsidP="006D75F3">
      <w:pPr>
        <w:pStyle w:val="IntroDefault"/>
        <w:spacing w:after="0" w:line="20" w:lineRule="atLeast"/>
        <w:rPr>
          <w:b/>
          <w:bCs/>
          <w:sz w:val="20"/>
        </w:rPr>
      </w:pPr>
    </w:p>
    <w:p w14:paraId="2681736F" w14:textId="77777777" w:rsidR="006D75F3" w:rsidRPr="006D75F3" w:rsidRDefault="006D75F3" w:rsidP="006D75F3">
      <w:pPr>
        <w:pStyle w:val="IntroDefault"/>
        <w:spacing w:after="0" w:line="20" w:lineRule="atLeast"/>
        <w:rPr>
          <w:b/>
          <w:bCs/>
          <w:sz w:val="20"/>
        </w:rPr>
      </w:pPr>
    </w:p>
    <w:p w14:paraId="6ADECBED" w14:textId="77777777" w:rsidR="006D75F3" w:rsidRPr="006D75F3" w:rsidRDefault="006D75F3" w:rsidP="006D75F3">
      <w:pPr>
        <w:pStyle w:val="IntroDefault"/>
        <w:spacing w:after="0" w:line="20" w:lineRule="atLeast"/>
        <w:rPr>
          <w:b/>
          <w:bCs/>
          <w:sz w:val="20"/>
        </w:rPr>
      </w:pPr>
    </w:p>
    <w:p w14:paraId="063FB3A0" w14:textId="77777777" w:rsidR="006D75F3" w:rsidRPr="006D75F3" w:rsidRDefault="006D75F3" w:rsidP="006D75F3">
      <w:pPr>
        <w:pStyle w:val="IntroDefault"/>
        <w:spacing w:after="0" w:line="20" w:lineRule="atLeast"/>
        <w:rPr>
          <w:b/>
          <w:bCs/>
          <w:sz w:val="20"/>
        </w:rPr>
      </w:pPr>
    </w:p>
    <w:p w14:paraId="677FDEC5" w14:textId="77777777" w:rsidR="006D75F3" w:rsidRPr="006D75F3" w:rsidRDefault="006D75F3" w:rsidP="006D75F3">
      <w:pPr>
        <w:pStyle w:val="IntroDefault"/>
        <w:spacing w:after="0" w:line="20" w:lineRule="atLeast"/>
        <w:rPr>
          <w:b/>
          <w:bCs/>
          <w:sz w:val="20"/>
        </w:rPr>
      </w:pPr>
    </w:p>
    <w:p w14:paraId="11BDA33F" w14:textId="77777777" w:rsidR="006D75F3" w:rsidRPr="006D75F3" w:rsidRDefault="006D75F3" w:rsidP="006D75F3">
      <w:pPr>
        <w:pStyle w:val="IntroDefault"/>
        <w:spacing w:after="0" w:line="20" w:lineRule="atLeast"/>
        <w:rPr>
          <w:b/>
          <w:bCs/>
          <w:sz w:val="20"/>
        </w:rPr>
      </w:pPr>
    </w:p>
    <w:p w14:paraId="49DBF7E3" w14:textId="77777777" w:rsidR="006D75F3" w:rsidRPr="006D75F3" w:rsidRDefault="006D75F3" w:rsidP="006D75F3">
      <w:pPr>
        <w:pStyle w:val="IntroDefault"/>
        <w:spacing w:after="0" w:line="20" w:lineRule="atLeast"/>
        <w:rPr>
          <w:b/>
          <w:bCs/>
          <w:sz w:val="20"/>
        </w:rPr>
      </w:pPr>
    </w:p>
    <w:p w14:paraId="19B632F2" w14:textId="77777777" w:rsidR="006D75F3" w:rsidRPr="006D75F3" w:rsidRDefault="006D75F3" w:rsidP="006D75F3">
      <w:pPr>
        <w:pStyle w:val="IntroDefault"/>
        <w:spacing w:after="0" w:line="20" w:lineRule="atLeast"/>
        <w:rPr>
          <w:b/>
          <w:bCs/>
          <w:sz w:val="20"/>
        </w:rPr>
      </w:pPr>
    </w:p>
    <w:p w14:paraId="42A07E54" w14:textId="77777777" w:rsidR="006D75F3" w:rsidRPr="006D75F3" w:rsidRDefault="006D75F3" w:rsidP="006D75F3">
      <w:pPr>
        <w:pStyle w:val="IntroDefault"/>
        <w:spacing w:after="0" w:line="20" w:lineRule="atLeast"/>
        <w:rPr>
          <w:b/>
          <w:bCs/>
          <w:sz w:val="20"/>
        </w:rPr>
      </w:pPr>
    </w:p>
    <w:p w14:paraId="05E7B66E" w14:textId="77777777" w:rsidR="006D75F3" w:rsidRPr="006D75F3" w:rsidRDefault="006D75F3" w:rsidP="006D75F3">
      <w:pPr>
        <w:pStyle w:val="IntroDefault"/>
        <w:spacing w:after="0" w:line="20" w:lineRule="atLeast"/>
        <w:rPr>
          <w:b/>
          <w:bCs/>
          <w:sz w:val="20"/>
        </w:rPr>
      </w:pPr>
    </w:p>
    <w:p w14:paraId="45E6EB6A" w14:textId="77777777" w:rsidR="006D75F3" w:rsidRPr="006D75F3" w:rsidRDefault="006D75F3" w:rsidP="006D75F3">
      <w:pPr>
        <w:pStyle w:val="IntroDefault"/>
        <w:spacing w:after="0" w:line="20" w:lineRule="atLeast"/>
        <w:rPr>
          <w:b/>
          <w:bCs/>
          <w:sz w:val="20"/>
        </w:rPr>
      </w:pPr>
    </w:p>
    <w:p w14:paraId="6B11F912" w14:textId="77777777" w:rsidR="006D75F3" w:rsidRPr="006D75F3" w:rsidRDefault="006D75F3" w:rsidP="006D75F3">
      <w:pPr>
        <w:pStyle w:val="IntroDefault"/>
        <w:spacing w:after="0" w:line="20" w:lineRule="atLeast"/>
        <w:rPr>
          <w:b/>
          <w:bCs/>
          <w:sz w:val="20"/>
        </w:rPr>
      </w:pPr>
    </w:p>
    <w:p w14:paraId="5F8B492B" w14:textId="77777777" w:rsidR="006D75F3" w:rsidRPr="006D75F3" w:rsidRDefault="006D75F3" w:rsidP="006D75F3">
      <w:pPr>
        <w:pStyle w:val="IntroDefault"/>
        <w:spacing w:after="0" w:line="20" w:lineRule="atLeast"/>
        <w:rPr>
          <w:b/>
          <w:bCs/>
          <w:sz w:val="20"/>
        </w:rPr>
      </w:pPr>
    </w:p>
    <w:p w14:paraId="2024DDCA" w14:textId="77777777" w:rsidR="006D75F3" w:rsidRPr="006D75F3" w:rsidRDefault="006D75F3" w:rsidP="006D75F3">
      <w:pPr>
        <w:pStyle w:val="IntroDefault"/>
        <w:spacing w:after="0" w:line="20" w:lineRule="atLeast"/>
        <w:rPr>
          <w:b/>
          <w:bCs/>
          <w:sz w:val="20"/>
        </w:rPr>
      </w:pPr>
    </w:p>
    <w:p w14:paraId="3415CB2D" w14:textId="77777777" w:rsidR="006D75F3" w:rsidRPr="006D75F3" w:rsidRDefault="006D75F3" w:rsidP="006D75F3">
      <w:pPr>
        <w:pStyle w:val="IntroDefault"/>
        <w:spacing w:after="0" w:line="20" w:lineRule="atLeast"/>
        <w:rPr>
          <w:b/>
          <w:bCs/>
          <w:sz w:val="20"/>
        </w:rPr>
      </w:pPr>
    </w:p>
    <w:p w14:paraId="4BF9CFE2" w14:textId="77777777" w:rsidR="006D75F3" w:rsidRPr="006D75F3" w:rsidRDefault="006D75F3" w:rsidP="006D75F3">
      <w:pPr>
        <w:pStyle w:val="IntroDefault"/>
        <w:spacing w:after="0" w:line="20" w:lineRule="atLeast"/>
        <w:rPr>
          <w:b/>
          <w:bCs/>
          <w:sz w:val="20"/>
        </w:rPr>
      </w:pPr>
    </w:p>
    <w:p w14:paraId="7146E5D7" w14:textId="77777777" w:rsidR="006D75F3" w:rsidRPr="006D75F3" w:rsidRDefault="006D75F3" w:rsidP="006D75F3">
      <w:pPr>
        <w:pStyle w:val="IntroDefault"/>
        <w:spacing w:after="0" w:line="20" w:lineRule="atLeast"/>
        <w:rPr>
          <w:b/>
          <w:bCs/>
          <w:sz w:val="20"/>
        </w:rPr>
      </w:pPr>
    </w:p>
    <w:p w14:paraId="50E4AC3A" w14:textId="77777777" w:rsidR="006D75F3" w:rsidRPr="006D75F3" w:rsidRDefault="006D75F3" w:rsidP="006D75F3">
      <w:pPr>
        <w:pStyle w:val="IntroDefault"/>
        <w:spacing w:after="0" w:line="20" w:lineRule="atLeast"/>
        <w:rPr>
          <w:b/>
          <w:bCs/>
          <w:sz w:val="20"/>
        </w:rPr>
      </w:pPr>
    </w:p>
    <w:p w14:paraId="4D81DBC6" w14:textId="77777777" w:rsidR="006D75F3" w:rsidRPr="006D75F3" w:rsidRDefault="006D75F3" w:rsidP="006D75F3">
      <w:pPr>
        <w:pStyle w:val="IntroDefault"/>
        <w:spacing w:after="0" w:line="20" w:lineRule="atLeast"/>
        <w:rPr>
          <w:b/>
          <w:bCs/>
          <w:sz w:val="20"/>
        </w:rPr>
      </w:pPr>
    </w:p>
    <w:p w14:paraId="6AD2FAA5" w14:textId="77777777" w:rsidR="006D75F3" w:rsidRPr="006D75F3" w:rsidRDefault="006D75F3" w:rsidP="006D75F3">
      <w:pPr>
        <w:pStyle w:val="IntroDefault"/>
        <w:spacing w:after="0" w:line="20" w:lineRule="atLeast"/>
        <w:rPr>
          <w:b/>
          <w:bCs/>
          <w:sz w:val="20"/>
        </w:rPr>
      </w:pPr>
    </w:p>
    <w:p w14:paraId="39227E9F" w14:textId="77777777" w:rsidR="006D75F3" w:rsidRPr="006D75F3" w:rsidRDefault="006D75F3" w:rsidP="006D75F3">
      <w:pPr>
        <w:pStyle w:val="IntroDefault"/>
        <w:spacing w:after="0" w:line="20" w:lineRule="atLeast"/>
        <w:rPr>
          <w:b/>
          <w:bCs/>
          <w:sz w:val="20"/>
        </w:rPr>
      </w:pPr>
    </w:p>
    <w:p w14:paraId="3C6B21B3" w14:textId="77777777" w:rsidR="006D75F3" w:rsidRPr="006D75F3" w:rsidRDefault="006D75F3" w:rsidP="006D75F3">
      <w:pPr>
        <w:pStyle w:val="IntroDefault"/>
        <w:spacing w:after="0" w:line="20" w:lineRule="atLeast"/>
        <w:rPr>
          <w:b/>
          <w:bCs/>
          <w:sz w:val="20"/>
        </w:rPr>
      </w:pPr>
    </w:p>
    <w:p w14:paraId="7FB99C6D" w14:textId="77777777" w:rsidR="006D75F3" w:rsidRPr="006D75F3" w:rsidRDefault="006D75F3" w:rsidP="006D75F3">
      <w:pPr>
        <w:pStyle w:val="IntroDefault"/>
        <w:spacing w:after="0" w:line="20" w:lineRule="atLeast"/>
        <w:rPr>
          <w:b/>
          <w:bCs/>
          <w:sz w:val="20"/>
        </w:rPr>
      </w:pPr>
    </w:p>
    <w:p w14:paraId="016D88D9" w14:textId="77777777" w:rsidR="006D75F3" w:rsidRPr="006D75F3" w:rsidRDefault="006D75F3" w:rsidP="006D75F3">
      <w:pPr>
        <w:pStyle w:val="IntroDefault"/>
        <w:spacing w:after="0" w:line="20" w:lineRule="atLeast"/>
        <w:rPr>
          <w:b/>
          <w:bCs/>
          <w:sz w:val="20"/>
        </w:rPr>
      </w:pPr>
    </w:p>
    <w:p w14:paraId="25D061C7" w14:textId="77777777" w:rsidR="006D75F3" w:rsidRPr="006D75F3" w:rsidRDefault="006D75F3" w:rsidP="006D75F3">
      <w:pPr>
        <w:pStyle w:val="IntroDefault"/>
        <w:spacing w:after="0" w:line="20" w:lineRule="atLeast"/>
        <w:rPr>
          <w:b/>
          <w:bCs/>
          <w:sz w:val="20"/>
        </w:rPr>
      </w:pPr>
    </w:p>
    <w:p w14:paraId="3539DBB3" w14:textId="77777777" w:rsidR="006D75F3" w:rsidRPr="006D75F3" w:rsidRDefault="006D75F3" w:rsidP="006D75F3">
      <w:pPr>
        <w:pStyle w:val="IntroDefault"/>
        <w:spacing w:after="0" w:line="20" w:lineRule="atLeast"/>
        <w:rPr>
          <w:b/>
          <w:bCs/>
          <w:sz w:val="20"/>
        </w:rPr>
      </w:pPr>
    </w:p>
    <w:p w14:paraId="3F72A565" w14:textId="77777777" w:rsidR="006D75F3" w:rsidRPr="006D75F3" w:rsidRDefault="006D75F3" w:rsidP="006D75F3">
      <w:pPr>
        <w:pStyle w:val="IntroDefault"/>
        <w:spacing w:after="0" w:line="20" w:lineRule="atLeast"/>
        <w:rPr>
          <w:b/>
          <w:bCs/>
          <w:sz w:val="20"/>
        </w:rPr>
      </w:pPr>
    </w:p>
    <w:p w14:paraId="296624A7" w14:textId="77777777" w:rsidR="006D75F3" w:rsidRPr="006D75F3" w:rsidRDefault="006D75F3" w:rsidP="006D75F3">
      <w:pPr>
        <w:pStyle w:val="IntroDefault"/>
        <w:spacing w:after="0" w:line="20" w:lineRule="atLeast"/>
        <w:rPr>
          <w:b/>
          <w:bCs/>
          <w:sz w:val="20"/>
        </w:rPr>
      </w:pPr>
    </w:p>
    <w:p w14:paraId="1011CFCF" w14:textId="1F2C156B" w:rsidR="00F96AC2" w:rsidRPr="006D75F3" w:rsidRDefault="00B8782F" w:rsidP="006D75F3">
      <w:pPr>
        <w:pStyle w:val="IntroDefault"/>
        <w:spacing w:after="0" w:line="20" w:lineRule="atLeast"/>
        <w:rPr>
          <w:sz w:val="20"/>
        </w:rPr>
      </w:pPr>
      <w:r w:rsidRPr="006D75F3">
        <w:rPr>
          <w:b/>
          <w:bCs/>
          <w:sz w:val="20"/>
        </w:rPr>
        <w:lastRenderedPageBreak/>
        <w:t>THIS AGREEMENT</w:t>
      </w:r>
      <w:r w:rsidRPr="006D75F3">
        <w:rPr>
          <w:sz w:val="20"/>
        </w:rPr>
        <w:t xml:space="preserve"> is dated [</w:t>
      </w:r>
      <w:r w:rsidR="00617F4B">
        <w:rPr>
          <w:sz w:val="20"/>
        </w:rPr>
        <w:t>1</w:t>
      </w:r>
      <w:r w:rsidR="00617F4B" w:rsidRPr="00617F4B">
        <w:rPr>
          <w:sz w:val="20"/>
          <w:vertAlign w:val="superscript"/>
        </w:rPr>
        <w:t>st</w:t>
      </w:r>
      <w:r w:rsidR="00617F4B">
        <w:rPr>
          <w:sz w:val="20"/>
        </w:rPr>
        <w:t xml:space="preserve"> </w:t>
      </w:r>
      <w:proofErr w:type="gramStart"/>
      <w:r w:rsidR="00617F4B">
        <w:rPr>
          <w:sz w:val="20"/>
        </w:rPr>
        <w:t>August,</w:t>
      </w:r>
      <w:proofErr w:type="gramEnd"/>
      <w:r w:rsidR="00617F4B">
        <w:rPr>
          <w:sz w:val="20"/>
        </w:rPr>
        <w:t xml:space="preserve"> 2024</w:t>
      </w:r>
      <w:r w:rsidRPr="006D75F3">
        <w:rPr>
          <w:sz w:val="20"/>
        </w:rPr>
        <w:t>].</w:t>
      </w:r>
    </w:p>
    <w:p w14:paraId="5EC1B29C" w14:textId="77777777" w:rsidR="00B8782F" w:rsidRPr="006D75F3" w:rsidRDefault="00B8782F" w:rsidP="006D75F3">
      <w:pPr>
        <w:pStyle w:val="IntroDefault"/>
        <w:spacing w:after="0" w:line="20" w:lineRule="atLeast"/>
        <w:rPr>
          <w:sz w:val="20"/>
        </w:rPr>
      </w:pPr>
    </w:p>
    <w:p w14:paraId="3679F44A" w14:textId="7F9D7BB1" w:rsidR="00B8782F" w:rsidRPr="006D75F3" w:rsidRDefault="00000000" w:rsidP="006D75F3">
      <w:pPr>
        <w:pStyle w:val="DescriptiveHeading"/>
        <w:spacing w:before="0" w:after="0" w:line="20" w:lineRule="atLeast"/>
        <w:rPr>
          <w:sz w:val="20"/>
          <w:szCs w:val="20"/>
          <w:lang w:val="en-GB"/>
        </w:rPr>
      </w:pPr>
      <w:r w:rsidRPr="006D75F3">
        <w:rPr>
          <w:sz w:val="20"/>
          <w:szCs w:val="20"/>
          <w:lang w:val="en-GB"/>
        </w:rPr>
        <w:t>PARTIES</w:t>
      </w:r>
    </w:p>
    <w:p w14:paraId="1283BFA6" w14:textId="77777777" w:rsidR="00B8782F" w:rsidRPr="006D75F3" w:rsidRDefault="00B8782F" w:rsidP="006D75F3">
      <w:pPr>
        <w:pStyle w:val="Paragraph"/>
        <w:spacing w:after="0" w:line="20" w:lineRule="atLeast"/>
        <w:rPr>
          <w:sz w:val="20"/>
        </w:rPr>
      </w:pPr>
    </w:p>
    <w:p w14:paraId="2F90F635" w14:textId="7E1E6CB8" w:rsidR="00F96AC2" w:rsidRPr="006D75F3" w:rsidRDefault="008C2214" w:rsidP="006D75F3">
      <w:pPr>
        <w:pStyle w:val="Parties"/>
        <w:spacing w:before="0" w:after="0" w:line="20" w:lineRule="atLeast"/>
        <w:rPr>
          <w:rStyle w:val="DefTerm"/>
          <w:sz w:val="20"/>
        </w:rPr>
      </w:pPr>
      <w:r w:rsidRPr="008C2214">
        <w:rPr>
          <w:b/>
          <w:bCs/>
          <w:sz w:val="20"/>
        </w:rPr>
        <w:t>WREXHAM UNIVERSITY</w:t>
      </w:r>
      <w:r>
        <w:rPr>
          <w:b/>
          <w:bCs/>
          <w:sz w:val="20"/>
        </w:rPr>
        <w:t xml:space="preserve"> </w:t>
      </w:r>
      <w:r>
        <w:rPr>
          <w:sz w:val="20"/>
        </w:rPr>
        <w:t>a charitable body in England and Wales under registration number 1142048 whose main administrative address is at Plas Coch, Mold Road, Wrexham, LL11 2AW</w:t>
      </w:r>
      <w:r w:rsidRPr="006D75F3">
        <w:rPr>
          <w:sz w:val="20"/>
        </w:rPr>
        <w:t xml:space="preserve"> </w:t>
      </w:r>
      <w:r w:rsidRPr="008C2214">
        <w:rPr>
          <w:rStyle w:val="DefTerm"/>
          <w:b w:val="0"/>
          <w:bCs/>
          <w:sz w:val="20"/>
        </w:rPr>
        <w:t>(</w:t>
      </w:r>
      <w:r w:rsidRPr="008C2214">
        <w:rPr>
          <w:rStyle w:val="DefTerm"/>
          <w:sz w:val="20"/>
        </w:rPr>
        <w:t>Data Discloser</w:t>
      </w:r>
      <w:r w:rsidRPr="008C2214">
        <w:rPr>
          <w:rStyle w:val="DefTerm"/>
          <w:b w:val="0"/>
          <w:bCs/>
          <w:sz w:val="20"/>
        </w:rPr>
        <w:t>)</w:t>
      </w:r>
    </w:p>
    <w:p w14:paraId="304ADCBE" w14:textId="77777777" w:rsidR="00B8782F" w:rsidRPr="006D75F3" w:rsidRDefault="00B8782F" w:rsidP="006D75F3">
      <w:pPr>
        <w:pStyle w:val="Parties"/>
        <w:numPr>
          <w:ilvl w:val="0"/>
          <w:numId w:val="0"/>
        </w:numPr>
        <w:spacing w:before="0" w:after="0" w:line="20" w:lineRule="atLeast"/>
        <w:ind w:left="720"/>
        <w:rPr>
          <w:b/>
          <w:sz w:val="20"/>
        </w:rPr>
      </w:pPr>
    </w:p>
    <w:p w14:paraId="67420F77" w14:textId="3455227B" w:rsidR="00F96AC2" w:rsidRPr="006D75F3" w:rsidRDefault="008C2214" w:rsidP="006D75F3">
      <w:pPr>
        <w:pStyle w:val="Parties"/>
        <w:spacing w:before="0" w:after="0" w:line="20" w:lineRule="atLeast"/>
        <w:rPr>
          <w:rStyle w:val="DefTerm"/>
          <w:sz w:val="20"/>
        </w:rPr>
      </w:pPr>
      <w:r w:rsidRPr="008C2214">
        <w:rPr>
          <w:b/>
          <w:bCs/>
          <w:sz w:val="20"/>
        </w:rPr>
        <w:t>WREXHAM GLYNDWR STUDENTS’ UNION LIMITED</w:t>
      </w:r>
      <w:r>
        <w:rPr>
          <w:sz w:val="20"/>
        </w:rPr>
        <w:t xml:space="preserve"> </w:t>
      </w:r>
      <w:r w:rsidRPr="006D75F3">
        <w:rPr>
          <w:sz w:val="20"/>
        </w:rPr>
        <w:t xml:space="preserve">incorporated and registered in England and Wales with company number </w:t>
      </w:r>
      <w:r w:rsidR="0025158B">
        <w:rPr>
          <w:sz w:val="20"/>
        </w:rPr>
        <w:t>10111959</w:t>
      </w:r>
      <w:r w:rsidRPr="006D75F3">
        <w:rPr>
          <w:sz w:val="20"/>
        </w:rPr>
        <w:t xml:space="preserve"> whose registered office is at</w:t>
      </w:r>
      <w:r w:rsidR="0025158B">
        <w:rPr>
          <w:sz w:val="20"/>
        </w:rPr>
        <w:t xml:space="preserve"> Wrexham Glyndwr University Plas Coch, Mold Road, Wrexham, Wales, LL11 2AW</w:t>
      </w:r>
      <w:r w:rsidRPr="006D75F3">
        <w:rPr>
          <w:sz w:val="20"/>
        </w:rPr>
        <w:t xml:space="preserve"> </w:t>
      </w:r>
      <w:r w:rsidRPr="0025158B">
        <w:rPr>
          <w:rStyle w:val="DefTerm"/>
          <w:b w:val="0"/>
          <w:bCs/>
          <w:sz w:val="20"/>
        </w:rPr>
        <w:t>(</w:t>
      </w:r>
      <w:r w:rsidRPr="0025158B">
        <w:rPr>
          <w:rStyle w:val="DefTerm"/>
          <w:sz w:val="20"/>
        </w:rPr>
        <w:t>Data Receiver</w:t>
      </w:r>
      <w:r w:rsidRPr="0025158B">
        <w:rPr>
          <w:rStyle w:val="DefTerm"/>
          <w:b w:val="0"/>
          <w:bCs/>
          <w:sz w:val="20"/>
        </w:rPr>
        <w:t>)</w:t>
      </w:r>
    </w:p>
    <w:p w14:paraId="5C982B7D" w14:textId="77777777" w:rsidR="00B8782F" w:rsidRPr="006D75F3" w:rsidRDefault="00B8782F" w:rsidP="008C2214">
      <w:pPr>
        <w:pStyle w:val="Parties"/>
        <w:numPr>
          <w:ilvl w:val="0"/>
          <w:numId w:val="0"/>
        </w:numPr>
        <w:spacing w:before="0" w:after="0" w:line="20" w:lineRule="atLeast"/>
        <w:rPr>
          <w:b/>
          <w:sz w:val="20"/>
        </w:rPr>
      </w:pPr>
    </w:p>
    <w:p w14:paraId="2167A3CD" w14:textId="77777777" w:rsidR="00F96AC2" w:rsidRPr="006D75F3" w:rsidRDefault="00000000" w:rsidP="006D75F3">
      <w:pPr>
        <w:pStyle w:val="DescriptiveHeading"/>
        <w:spacing w:before="0" w:after="0" w:line="20" w:lineRule="atLeast"/>
        <w:rPr>
          <w:sz w:val="20"/>
          <w:szCs w:val="20"/>
          <w:lang w:val="en-GB"/>
        </w:rPr>
      </w:pPr>
      <w:r w:rsidRPr="006D75F3">
        <w:rPr>
          <w:sz w:val="20"/>
          <w:szCs w:val="20"/>
          <w:lang w:val="en-GB"/>
        </w:rPr>
        <w:t>BACKGROUND</w:t>
      </w:r>
    </w:p>
    <w:p w14:paraId="6E5318AC" w14:textId="77777777" w:rsidR="00B8782F" w:rsidRPr="006D75F3" w:rsidRDefault="00B8782F" w:rsidP="006D75F3">
      <w:pPr>
        <w:pStyle w:val="Paragraph"/>
        <w:spacing w:after="0" w:line="20" w:lineRule="atLeast"/>
        <w:rPr>
          <w:sz w:val="20"/>
        </w:rPr>
      </w:pPr>
    </w:p>
    <w:p w14:paraId="2003AAF8" w14:textId="2C384262" w:rsidR="00F96AC2" w:rsidRPr="0025158B" w:rsidRDefault="00000000" w:rsidP="006D75F3">
      <w:pPr>
        <w:pStyle w:val="Background"/>
        <w:spacing w:before="0" w:after="0" w:line="20" w:lineRule="atLeast"/>
        <w:rPr>
          <w:sz w:val="20"/>
        </w:rPr>
      </w:pPr>
      <w:bookmarkStart w:id="0" w:name="a481953"/>
      <w:r w:rsidRPr="006D75F3">
        <w:rPr>
          <w:sz w:val="20"/>
        </w:rPr>
        <w:t xml:space="preserve">The Data Discloser agrees to share the Personal Data with the </w:t>
      </w:r>
      <w:r w:rsidRPr="0025158B">
        <w:rPr>
          <w:sz w:val="20"/>
        </w:rPr>
        <w:t>Data Receiver in the UK on terms set out in the Agreement.</w:t>
      </w:r>
      <w:bookmarkEnd w:id="0"/>
    </w:p>
    <w:p w14:paraId="153E89A9" w14:textId="77777777" w:rsidR="00B8782F" w:rsidRPr="0025158B" w:rsidRDefault="00B8782F" w:rsidP="006D75F3">
      <w:pPr>
        <w:pStyle w:val="Background"/>
        <w:numPr>
          <w:ilvl w:val="0"/>
          <w:numId w:val="0"/>
        </w:numPr>
        <w:spacing w:before="0" w:after="0" w:line="20" w:lineRule="atLeast"/>
        <w:ind w:left="720"/>
        <w:rPr>
          <w:sz w:val="20"/>
        </w:rPr>
      </w:pPr>
    </w:p>
    <w:p w14:paraId="47C2A81C" w14:textId="2E0073B2" w:rsidR="00F96AC2" w:rsidRPr="0025158B" w:rsidRDefault="00000000" w:rsidP="006D75F3">
      <w:pPr>
        <w:pStyle w:val="Background"/>
        <w:spacing w:before="0" w:after="0" w:line="20" w:lineRule="atLeast"/>
        <w:rPr>
          <w:sz w:val="20"/>
        </w:rPr>
      </w:pPr>
      <w:bookmarkStart w:id="1" w:name="a272595"/>
      <w:r w:rsidRPr="0025158B">
        <w:rPr>
          <w:sz w:val="20"/>
        </w:rPr>
        <w:t>The Data Receiver agrees to use the Personal Data within the UK</w:t>
      </w:r>
      <w:r w:rsidR="0025158B" w:rsidRPr="0025158B">
        <w:rPr>
          <w:sz w:val="20"/>
        </w:rPr>
        <w:t xml:space="preserve"> </w:t>
      </w:r>
      <w:r w:rsidRPr="0025158B">
        <w:rPr>
          <w:sz w:val="20"/>
        </w:rPr>
        <w:t>on the terms set out in this Agreement.</w:t>
      </w:r>
      <w:bookmarkEnd w:id="1"/>
    </w:p>
    <w:p w14:paraId="6E55EBA8" w14:textId="77777777" w:rsidR="00B8782F" w:rsidRPr="0025158B" w:rsidRDefault="00B8782F" w:rsidP="006D75F3">
      <w:pPr>
        <w:pStyle w:val="Background"/>
        <w:numPr>
          <w:ilvl w:val="0"/>
          <w:numId w:val="0"/>
        </w:numPr>
        <w:spacing w:before="0" w:after="0" w:line="20" w:lineRule="atLeast"/>
        <w:rPr>
          <w:sz w:val="20"/>
        </w:rPr>
      </w:pPr>
    </w:p>
    <w:p w14:paraId="11B826F9" w14:textId="77777777" w:rsidR="00F96AC2" w:rsidRPr="0025158B" w:rsidRDefault="00000000" w:rsidP="006D75F3">
      <w:pPr>
        <w:pStyle w:val="Background"/>
        <w:spacing w:before="0" w:after="0" w:line="20" w:lineRule="atLeast"/>
        <w:rPr>
          <w:sz w:val="20"/>
        </w:rPr>
      </w:pPr>
      <w:bookmarkStart w:id="2" w:name="a393794"/>
      <w:r w:rsidRPr="0025158B">
        <w:rPr>
          <w:sz w:val="20"/>
        </w:rPr>
        <w:t>This is a free-standing Agreement that does not incorporate commercial business terms established by the parties under separate commercial arrangements.</w:t>
      </w:r>
      <w:bookmarkEnd w:id="2"/>
    </w:p>
    <w:p w14:paraId="6E973E96" w14:textId="11CD1726" w:rsidR="008C2214" w:rsidRPr="006D75F3" w:rsidRDefault="008C2214" w:rsidP="0025158B">
      <w:pPr>
        <w:pStyle w:val="Background"/>
        <w:numPr>
          <w:ilvl w:val="0"/>
          <w:numId w:val="0"/>
        </w:numPr>
        <w:spacing w:before="0" w:after="0" w:line="20" w:lineRule="atLeast"/>
        <w:rPr>
          <w:sz w:val="20"/>
        </w:rPr>
      </w:pPr>
    </w:p>
    <w:p w14:paraId="214C86A3" w14:textId="0FD5EBEA" w:rsidR="00B8782F" w:rsidRPr="006D75F3" w:rsidRDefault="00000000" w:rsidP="006D75F3">
      <w:pPr>
        <w:pStyle w:val="DescriptiveHeading"/>
        <w:spacing w:before="0" w:after="0" w:line="20" w:lineRule="atLeast"/>
        <w:rPr>
          <w:sz w:val="20"/>
          <w:szCs w:val="20"/>
          <w:lang w:val="en-GB"/>
        </w:rPr>
      </w:pPr>
      <w:r w:rsidRPr="006D75F3">
        <w:rPr>
          <w:sz w:val="20"/>
          <w:szCs w:val="20"/>
          <w:lang w:val="en-GB"/>
        </w:rPr>
        <w:t>AGREED TERMS</w:t>
      </w:r>
    </w:p>
    <w:p w14:paraId="48A0D434" w14:textId="77777777" w:rsidR="00B8782F" w:rsidRPr="006D75F3" w:rsidRDefault="00B8782F" w:rsidP="006D75F3">
      <w:pPr>
        <w:pStyle w:val="Paragraph"/>
        <w:spacing w:after="0" w:line="20" w:lineRule="atLeast"/>
        <w:rPr>
          <w:sz w:val="20"/>
        </w:rPr>
      </w:pPr>
    </w:p>
    <w:p w14:paraId="1EF62092" w14:textId="17B43D7B"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"1. Interpretation" \l 1</w:instrText>
      </w:r>
      <w:r w:rsidRPr="006D75F3">
        <w:rPr>
          <w:sz w:val="20"/>
        </w:rPr>
        <w:fldChar w:fldCharType="end"/>
      </w:r>
      <w:bookmarkStart w:id="3" w:name="_Toc256000000"/>
      <w:bookmarkStart w:id="4" w:name="a496256"/>
      <w:r w:rsidR="00B8782F" w:rsidRPr="006D75F3">
        <w:rPr>
          <w:sz w:val="20"/>
        </w:rPr>
        <w:t>INTERPRETATION</w:t>
      </w:r>
      <w:bookmarkEnd w:id="3"/>
      <w:bookmarkEnd w:id="4"/>
    </w:p>
    <w:p w14:paraId="49312512" w14:textId="77777777" w:rsidR="00B8782F" w:rsidRPr="006D75F3" w:rsidRDefault="00B8782F" w:rsidP="006D75F3">
      <w:pPr>
        <w:pStyle w:val="TitleClause"/>
        <w:numPr>
          <w:ilvl w:val="0"/>
          <w:numId w:val="0"/>
        </w:numPr>
        <w:spacing w:before="0" w:after="0" w:line="20" w:lineRule="atLeast"/>
        <w:ind w:left="720"/>
        <w:rPr>
          <w:sz w:val="20"/>
        </w:rPr>
      </w:pPr>
    </w:p>
    <w:p w14:paraId="634C3AF5" w14:textId="77777777" w:rsidR="00F96AC2" w:rsidRPr="006D75F3" w:rsidRDefault="00000000" w:rsidP="006D75F3">
      <w:pPr>
        <w:pStyle w:val="ParaClause"/>
        <w:spacing w:before="0" w:after="0" w:line="20" w:lineRule="atLeast"/>
        <w:rPr>
          <w:sz w:val="20"/>
          <w:shd w:val="clear" w:color="auto" w:fill="FFFFFF"/>
        </w:rPr>
      </w:pPr>
      <w:r w:rsidRPr="006D75F3">
        <w:rPr>
          <w:sz w:val="20"/>
          <w:shd w:val="clear" w:color="auto" w:fill="FFFFFF"/>
        </w:rPr>
        <w:t xml:space="preserve">The following definitions and rules of interpretation apply in this </w:t>
      </w:r>
      <w:r w:rsidRPr="006D75F3">
        <w:rPr>
          <w:sz w:val="20"/>
        </w:rPr>
        <w:t>Agreement</w:t>
      </w:r>
      <w:r w:rsidRPr="006D75F3">
        <w:rPr>
          <w:sz w:val="20"/>
          <w:shd w:val="clear" w:color="auto" w:fill="FFFFFF"/>
        </w:rPr>
        <w:t>.</w:t>
      </w:r>
    </w:p>
    <w:p w14:paraId="6B8E008A" w14:textId="77777777" w:rsidR="00B8782F" w:rsidRPr="006D75F3" w:rsidRDefault="00B8782F" w:rsidP="006D75F3">
      <w:pPr>
        <w:pStyle w:val="ParaClause"/>
        <w:spacing w:before="0" w:after="0" w:line="20" w:lineRule="atLeast"/>
        <w:ind w:left="0"/>
        <w:rPr>
          <w:sz w:val="20"/>
          <w:shd w:val="clear" w:color="auto" w:fill="FFFFFF"/>
        </w:rPr>
      </w:pPr>
    </w:p>
    <w:p w14:paraId="7E7EB280" w14:textId="77777777" w:rsidR="00F96AC2" w:rsidRPr="006D75F3" w:rsidRDefault="00000000" w:rsidP="006D75F3">
      <w:pPr>
        <w:pStyle w:val="Untitledsubclause1"/>
        <w:spacing w:before="0" w:after="0" w:line="20" w:lineRule="atLeast"/>
        <w:rPr>
          <w:sz w:val="20"/>
        </w:rPr>
      </w:pPr>
      <w:bookmarkStart w:id="5" w:name="a923833"/>
      <w:r w:rsidRPr="006D75F3">
        <w:rPr>
          <w:sz w:val="20"/>
          <w:shd w:val="clear" w:color="auto" w:fill="FFFFFF"/>
        </w:rPr>
        <w:t>Definitions:</w:t>
      </w:r>
      <w:bookmarkEnd w:id="5"/>
    </w:p>
    <w:p w14:paraId="3A18DF7F" w14:textId="77777777" w:rsidR="00B8782F" w:rsidRPr="006D75F3" w:rsidRDefault="00B8782F" w:rsidP="006D75F3">
      <w:pPr>
        <w:pStyle w:val="Untitledsubclause1"/>
        <w:numPr>
          <w:ilvl w:val="0"/>
          <w:numId w:val="0"/>
        </w:numPr>
        <w:spacing w:before="0" w:after="0" w:line="20" w:lineRule="atLeast"/>
        <w:ind w:left="720"/>
        <w:rPr>
          <w:sz w:val="20"/>
        </w:rPr>
      </w:pPr>
    </w:p>
    <w:p w14:paraId="5D92CF1C" w14:textId="73DBC1FC" w:rsidR="00F96AC2" w:rsidRPr="006D75F3" w:rsidRDefault="00000000" w:rsidP="006D75F3">
      <w:pPr>
        <w:pStyle w:val="DefinedTermPara"/>
        <w:numPr>
          <w:ilvl w:val="0"/>
          <w:numId w:val="25"/>
        </w:numPr>
        <w:spacing w:after="0" w:line="20" w:lineRule="atLeast"/>
        <w:rPr>
          <w:sz w:val="20"/>
        </w:rPr>
      </w:pPr>
      <w:bookmarkStart w:id="6" w:name="a424284"/>
      <w:r w:rsidRPr="006D75F3">
        <w:rPr>
          <w:rStyle w:val="DefTerm"/>
          <w:sz w:val="20"/>
        </w:rPr>
        <w:t xml:space="preserve">Agreed </w:t>
      </w:r>
      <w:proofErr w:type="gramStart"/>
      <w:r w:rsidRPr="006D75F3">
        <w:rPr>
          <w:rStyle w:val="DefTerm"/>
          <w:sz w:val="20"/>
        </w:rPr>
        <w:t>Purpose</w:t>
      </w:r>
      <w:r w:rsidRPr="006D75F3">
        <w:rPr>
          <w:sz w:val="20"/>
        </w:rPr>
        <w:t>:</w:t>
      </w:r>
      <w:proofErr w:type="gramEnd"/>
      <w:r w:rsidRPr="006D75F3">
        <w:rPr>
          <w:sz w:val="20"/>
        </w:rPr>
        <w:t xml:space="preserve"> has the meaning given to it in </w:t>
      </w:r>
      <w:r w:rsidRPr="006D75F3">
        <w:rPr>
          <w:sz w:val="20"/>
        </w:rPr>
        <w:fldChar w:fldCharType="begin"/>
      </w:r>
      <w:r w:rsidRPr="006D75F3">
        <w:rPr>
          <w:sz w:val="20"/>
        </w:rPr>
        <w:instrText>PAGEREF a508264\# "'clause '"  \h</w:instrText>
      </w:r>
      <w:r w:rsidRPr="006D75F3">
        <w:rPr>
          <w:sz w:val="20"/>
        </w:rPr>
      </w:r>
      <w:r w:rsidRPr="006D75F3">
        <w:rPr>
          <w:sz w:val="20"/>
        </w:rPr>
        <w:fldChar w:fldCharType="separate"/>
      </w:r>
      <w:r w:rsidRPr="006D75F3">
        <w:rPr>
          <w:sz w:val="20"/>
        </w:rPr>
        <w:t xml:space="preserve">clause </w:t>
      </w:r>
      <w:r w:rsidRPr="006D75F3">
        <w:rPr>
          <w:sz w:val="20"/>
        </w:rPr>
        <w:fldChar w:fldCharType="end"/>
      </w:r>
      <w:r w:rsidRPr="006D75F3">
        <w:rPr>
          <w:sz w:val="20"/>
        </w:rPr>
        <w:fldChar w:fldCharType="begin"/>
      </w:r>
      <w:r w:rsidRPr="006D75F3">
        <w:rPr>
          <w:sz w:val="20"/>
          <w:highlight w:val="lightGray"/>
        </w:rPr>
        <w:instrText>REF a508264 \h \w</w:instrText>
      </w:r>
      <w:r w:rsidR="00B8782F" w:rsidRPr="006D75F3">
        <w:rPr>
          <w:sz w:val="20"/>
        </w:rPr>
        <w:instrText xml:space="preserve"> \* MERGEFORMAT </w:instrText>
      </w:r>
      <w:r w:rsidRPr="006D75F3">
        <w:rPr>
          <w:sz w:val="20"/>
        </w:rPr>
      </w:r>
      <w:r w:rsidRPr="006D75F3">
        <w:rPr>
          <w:sz w:val="20"/>
        </w:rPr>
        <w:fldChar w:fldCharType="separate"/>
      </w:r>
      <w:r w:rsidRPr="006D75F3">
        <w:rPr>
          <w:sz w:val="20"/>
        </w:rPr>
        <w:t>2</w:t>
      </w:r>
      <w:r w:rsidRPr="006D75F3">
        <w:rPr>
          <w:sz w:val="20"/>
        </w:rPr>
        <w:fldChar w:fldCharType="end"/>
      </w:r>
      <w:r w:rsidRPr="006D75F3">
        <w:rPr>
          <w:sz w:val="20"/>
        </w:rPr>
        <w:t xml:space="preserve"> of this Agreement.</w:t>
      </w:r>
      <w:bookmarkEnd w:id="6"/>
    </w:p>
    <w:p w14:paraId="049472D8" w14:textId="77777777" w:rsidR="00B8782F" w:rsidRPr="006D75F3" w:rsidRDefault="00B8782F" w:rsidP="006D75F3">
      <w:pPr>
        <w:pStyle w:val="DefinedTermPara"/>
        <w:numPr>
          <w:ilvl w:val="0"/>
          <w:numId w:val="0"/>
        </w:numPr>
        <w:spacing w:after="0" w:line="20" w:lineRule="atLeast"/>
        <w:ind w:left="720"/>
        <w:rPr>
          <w:sz w:val="20"/>
        </w:rPr>
      </w:pPr>
    </w:p>
    <w:p w14:paraId="642053B0" w14:textId="77777777" w:rsidR="00F96AC2" w:rsidRPr="006D75F3" w:rsidRDefault="00000000" w:rsidP="006D75F3">
      <w:pPr>
        <w:pStyle w:val="DefinedTermPara"/>
        <w:numPr>
          <w:ilvl w:val="0"/>
          <w:numId w:val="25"/>
        </w:numPr>
        <w:spacing w:after="0" w:line="20" w:lineRule="atLeast"/>
        <w:rPr>
          <w:b/>
          <w:sz w:val="20"/>
        </w:rPr>
      </w:pPr>
      <w:bookmarkStart w:id="7" w:name="a816221"/>
      <w:r w:rsidRPr="006D75F3">
        <w:rPr>
          <w:rStyle w:val="DefTerm"/>
          <w:sz w:val="20"/>
        </w:rPr>
        <w:t>Agreement</w:t>
      </w:r>
      <w:r w:rsidRPr="006D75F3">
        <w:rPr>
          <w:sz w:val="20"/>
        </w:rPr>
        <w:t>: this agreement, which is a free-standing document that does not incorporate commercial business terms established by the parties under separate commercial arrangements.</w:t>
      </w:r>
      <w:bookmarkEnd w:id="7"/>
    </w:p>
    <w:p w14:paraId="47378411" w14:textId="77777777" w:rsidR="00F96AC2" w:rsidRPr="006D75F3" w:rsidRDefault="00000000" w:rsidP="006D75F3">
      <w:pPr>
        <w:pStyle w:val="DefinedTermPara"/>
        <w:numPr>
          <w:ilvl w:val="0"/>
          <w:numId w:val="25"/>
        </w:numPr>
        <w:spacing w:after="0" w:line="20" w:lineRule="atLeast"/>
        <w:rPr>
          <w:sz w:val="20"/>
        </w:rPr>
      </w:pPr>
      <w:bookmarkStart w:id="8" w:name="a516494"/>
      <w:r w:rsidRPr="006D75F3">
        <w:rPr>
          <w:rStyle w:val="DefTerm"/>
          <w:sz w:val="20"/>
        </w:rPr>
        <w:t>Business Day</w:t>
      </w:r>
      <w:r w:rsidRPr="006D75F3">
        <w:rPr>
          <w:sz w:val="20"/>
        </w:rPr>
        <w:t>: a day other than a Saturday, Sunday or public holiday in England when banks in [London] are open for business.</w:t>
      </w:r>
      <w:bookmarkEnd w:id="8"/>
    </w:p>
    <w:p w14:paraId="01AFC9ED" w14:textId="77777777" w:rsidR="00B8782F" w:rsidRPr="006D75F3" w:rsidRDefault="00B8782F" w:rsidP="006D75F3">
      <w:pPr>
        <w:pStyle w:val="DefinedTermPara"/>
        <w:numPr>
          <w:ilvl w:val="0"/>
          <w:numId w:val="0"/>
        </w:numPr>
        <w:spacing w:after="0" w:line="20" w:lineRule="atLeast"/>
        <w:ind w:left="720"/>
        <w:rPr>
          <w:sz w:val="20"/>
        </w:rPr>
      </w:pPr>
    </w:p>
    <w:p w14:paraId="37D2670E" w14:textId="00E4D161" w:rsidR="00F96AC2" w:rsidRPr="006D75F3" w:rsidRDefault="00000000" w:rsidP="006D75F3">
      <w:pPr>
        <w:pStyle w:val="DefinedTermPara"/>
        <w:numPr>
          <w:ilvl w:val="0"/>
          <w:numId w:val="25"/>
        </w:numPr>
        <w:spacing w:after="0" w:line="20" w:lineRule="atLeast"/>
        <w:rPr>
          <w:sz w:val="20"/>
        </w:rPr>
      </w:pPr>
      <w:bookmarkStart w:id="9" w:name="a814501"/>
      <w:r w:rsidRPr="006D75F3">
        <w:rPr>
          <w:rStyle w:val="DefTerm"/>
          <w:sz w:val="20"/>
        </w:rPr>
        <w:t>Commencement Date</w:t>
      </w:r>
      <w:r w:rsidRPr="006D75F3">
        <w:rPr>
          <w:sz w:val="20"/>
        </w:rPr>
        <w:t>: [</w:t>
      </w:r>
      <w:r w:rsidR="00617F4B">
        <w:rPr>
          <w:sz w:val="20"/>
        </w:rPr>
        <w:t>1</w:t>
      </w:r>
      <w:r w:rsidR="00617F4B" w:rsidRPr="00617F4B">
        <w:rPr>
          <w:sz w:val="20"/>
          <w:vertAlign w:val="superscript"/>
        </w:rPr>
        <w:t>st</w:t>
      </w:r>
      <w:r w:rsidR="00617F4B">
        <w:rPr>
          <w:sz w:val="20"/>
        </w:rPr>
        <w:t xml:space="preserve"> </w:t>
      </w:r>
      <w:proofErr w:type="gramStart"/>
      <w:r w:rsidR="00617F4B">
        <w:rPr>
          <w:sz w:val="20"/>
        </w:rPr>
        <w:t>August,</w:t>
      </w:r>
      <w:proofErr w:type="gramEnd"/>
      <w:r w:rsidR="00617F4B">
        <w:rPr>
          <w:sz w:val="20"/>
        </w:rPr>
        <w:t xml:space="preserve"> 2024</w:t>
      </w:r>
      <w:r w:rsidRPr="006D75F3">
        <w:rPr>
          <w:sz w:val="20"/>
        </w:rPr>
        <w:t>]</w:t>
      </w:r>
      <w:bookmarkEnd w:id="9"/>
      <w:r w:rsidR="00B8782F" w:rsidRPr="006D75F3">
        <w:rPr>
          <w:sz w:val="20"/>
        </w:rPr>
        <w:t>.</w:t>
      </w:r>
    </w:p>
    <w:p w14:paraId="7C59AEAE" w14:textId="77777777" w:rsidR="00B8782F" w:rsidRPr="006D75F3" w:rsidRDefault="00B8782F" w:rsidP="006D75F3">
      <w:pPr>
        <w:pStyle w:val="DefinedTermPara"/>
        <w:numPr>
          <w:ilvl w:val="0"/>
          <w:numId w:val="0"/>
        </w:numPr>
        <w:spacing w:after="0" w:line="20" w:lineRule="atLeast"/>
        <w:rPr>
          <w:sz w:val="20"/>
        </w:rPr>
      </w:pPr>
    </w:p>
    <w:p w14:paraId="1DC846A0" w14:textId="77777777" w:rsidR="00F96AC2" w:rsidRPr="006D75F3" w:rsidRDefault="00000000" w:rsidP="006D75F3">
      <w:pPr>
        <w:pStyle w:val="DefinedTermPara"/>
        <w:numPr>
          <w:ilvl w:val="0"/>
          <w:numId w:val="25"/>
        </w:numPr>
        <w:spacing w:after="0" w:line="20" w:lineRule="atLeast"/>
        <w:rPr>
          <w:sz w:val="20"/>
        </w:rPr>
      </w:pPr>
      <w:bookmarkStart w:id="10" w:name="a837637"/>
      <w:r w:rsidRPr="006D75F3">
        <w:rPr>
          <w:rStyle w:val="DefTerm"/>
          <w:sz w:val="20"/>
        </w:rPr>
        <w:t>Criminal Offence Data</w:t>
      </w:r>
      <w:r w:rsidRPr="006D75F3">
        <w:rPr>
          <w:sz w:val="20"/>
        </w:rPr>
        <w:t>: means Personal Data relating to criminal convictions and offences or related security measures to be read in accordance with section 11(2) of the DPA 2018 (or other applicable Data Protection Legislation).</w:t>
      </w:r>
      <w:bookmarkEnd w:id="10"/>
    </w:p>
    <w:p w14:paraId="7904AB76" w14:textId="77777777" w:rsidR="00B8782F" w:rsidRPr="006D75F3" w:rsidRDefault="00B8782F" w:rsidP="006D75F3">
      <w:pPr>
        <w:pStyle w:val="DefinedTermPara"/>
        <w:numPr>
          <w:ilvl w:val="0"/>
          <w:numId w:val="0"/>
        </w:numPr>
        <w:spacing w:after="0" w:line="20" w:lineRule="atLeast"/>
        <w:rPr>
          <w:sz w:val="20"/>
        </w:rPr>
      </w:pPr>
    </w:p>
    <w:p w14:paraId="274A26FE" w14:textId="77777777" w:rsidR="00F96AC2" w:rsidRPr="006D75F3" w:rsidRDefault="00000000" w:rsidP="006D75F3">
      <w:pPr>
        <w:pStyle w:val="DefinedTermPara"/>
        <w:numPr>
          <w:ilvl w:val="0"/>
          <w:numId w:val="25"/>
        </w:numPr>
        <w:spacing w:after="0" w:line="20" w:lineRule="atLeast"/>
        <w:rPr>
          <w:rStyle w:val="DefTerm"/>
          <w:b w:val="0"/>
          <w:sz w:val="20"/>
        </w:rPr>
      </w:pPr>
      <w:bookmarkStart w:id="11" w:name="a571664"/>
      <w:r w:rsidRPr="006D75F3">
        <w:rPr>
          <w:rStyle w:val="DefTerm"/>
          <w:sz w:val="20"/>
        </w:rPr>
        <w:t xml:space="preserve">Data Sharing Code: </w:t>
      </w:r>
      <w:r w:rsidRPr="006D75F3">
        <w:rPr>
          <w:rStyle w:val="DefTerm"/>
          <w:b w:val="0"/>
          <w:bCs/>
          <w:sz w:val="20"/>
        </w:rPr>
        <w:t>the Information Commissioner's statutory data sharing code of practice which came into force on 5 October 2021, as updated or amended from time to time</w:t>
      </w:r>
      <w:r w:rsidRPr="006D75F3">
        <w:rPr>
          <w:rStyle w:val="DefTerm"/>
          <w:sz w:val="20"/>
        </w:rPr>
        <w:t>.</w:t>
      </w:r>
      <w:bookmarkEnd w:id="11"/>
    </w:p>
    <w:p w14:paraId="40AEC41E" w14:textId="77777777" w:rsidR="00B8782F" w:rsidRPr="006D75F3" w:rsidRDefault="00B8782F" w:rsidP="006D75F3">
      <w:pPr>
        <w:pStyle w:val="DefinedTermPara"/>
        <w:numPr>
          <w:ilvl w:val="0"/>
          <w:numId w:val="0"/>
        </w:numPr>
        <w:spacing w:after="0" w:line="20" w:lineRule="atLeast"/>
        <w:rPr>
          <w:sz w:val="20"/>
        </w:rPr>
      </w:pPr>
    </w:p>
    <w:p w14:paraId="62C6A0F5" w14:textId="1E2138D8" w:rsidR="00F96AC2" w:rsidRPr="006D75F3" w:rsidRDefault="00000000" w:rsidP="006D75F3">
      <w:pPr>
        <w:pStyle w:val="DefinedTermPara"/>
        <w:numPr>
          <w:ilvl w:val="0"/>
          <w:numId w:val="25"/>
        </w:numPr>
        <w:spacing w:after="0" w:line="20" w:lineRule="atLeast"/>
        <w:rPr>
          <w:sz w:val="20"/>
        </w:rPr>
      </w:pPr>
      <w:bookmarkStart w:id="12" w:name="a787847"/>
      <w:r w:rsidRPr="006D75F3">
        <w:rPr>
          <w:rStyle w:val="DefTerm"/>
          <w:sz w:val="20"/>
        </w:rPr>
        <w:t>Deletion Procedure</w:t>
      </w:r>
      <w:r w:rsidRPr="006D75F3">
        <w:rPr>
          <w:rStyle w:val="DefTerm"/>
          <w:b w:val="0"/>
          <w:sz w:val="20"/>
        </w:rPr>
        <w:t>:</w:t>
      </w:r>
      <w:r w:rsidRPr="006D75F3">
        <w:rPr>
          <w:sz w:val="20"/>
        </w:rPr>
        <w:t xml:space="preserve"> has the meaning given to it in </w:t>
      </w:r>
      <w:r w:rsidRPr="006D75F3">
        <w:rPr>
          <w:sz w:val="20"/>
        </w:rPr>
        <w:fldChar w:fldCharType="begin"/>
      </w:r>
      <w:r w:rsidRPr="006D75F3">
        <w:rPr>
          <w:sz w:val="20"/>
        </w:rPr>
        <w:instrText>PAGEREF a730569\# "'clause '"  \h</w:instrText>
      </w:r>
      <w:r w:rsidRPr="006D75F3">
        <w:rPr>
          <w:sz w:val="20"/>
        </w:rPr>
      </w:r>
      <w:r w:rsidRPr="006D75F3">
        <w:rPr>
          <w:sz w:val="20"/>
        </w:rPr>
        <w:fldChar w:fldCharType="separate"/>
      </w:r>
      <w:r w:rsidRPr="006D75F3">
        <w:rPr>
          <w:sz w:val="20"/>
        </w:rPr>
        <w:t xml:space="preserve">clause </w:t>
      </w:r>
      <w:r w:rsidRPr="006D75F3">
        <w:rPr>
          <w:sz w:val="20"/>
        </w:rPr>
        <w:fldChar w:fldCharType="end"/>
      </w:r>
      <w:r w:rsidRPr="006D75F3">
        <w:rPr>
          <w:sz w:val="20"/>
        </w:rPr>
        <w:fldChar w:fldCharType="begin"/>
      </w:r>
      <w:r w:rsidRPr="006D75F3">
        <w:rPr>
          <w:sz w:val="20"/>
          <w:highlight w:val="lightGray"/>
        </w:rPr>
        <w:instrText>REF a730569 \h \w</w:instrText>
      </w:r>
      <w:r w:rsidR="00B8782F" w:rsidRPr="006D75F3">
        <w:rPr>
          <w:sz w:val="20"/>
        </w:rPr>
        <w:instrText xml:space="preserve"> \* MERGEFORMAT </w:instrText>
      </w:r>
      <w:r w:rsidRPr="006D75F3">
        <w:rPr>
          <w:sz w:val="20"/>
        </w:rPr>
      </w:r>
      <w:r w:rsidRPr="006D75F3">
        <w:rPr>
          <w:sz w:val="20"/>
        </w:rPr>
        <w:fldChar w:fldCharType="separate"/>
      </w:r>
      <w:r w:rsidRPr="006D75F3">
        <w:rPr>
          <w:sz w:val="20"/>
        </w:rPr>
        <w:t>8.3</w:t>
      </w:r>
      <w:r w:rsidRPr="006D75F3">
        <w:rPr>
          <w:sz w:val="20"/>
        </w:rPr>
        <w:fldChar w:fldCharType="end"/>
      </w:r>
      <w:r w:rsidRPr="006D75F3">
        <w:rPr>
          <w:sz w:val="20"/>
        </w:rPr>
        <w:t xml:space="preserve"> and </w:t>
      </w:r>
      <w:r w:rsidR="006D75F3" w:rsidRPr="006D75F3">
        <w:rPr>
          <w:sz w:val="20"/>
        </w:rPr>
        <w:t xml:space="preserve">Schedule </w:t>
      </w:r>
      <w:r w:rsidR="00AA1821">
        <w:rPr>
          <w:sz w:val="20"/>
        </w:rPr>
        <w:t>3</w:t>
      </w:r>
      <w:r w:rsidRPr="006D75F3">
        <w:rPr>
          <w:sz w:val="20"/>
        </w:rPr>
        <w:t xml:space="preserve"> to this Agreement.</w:t>
      </w:r>
      <w:bookmarkEnd w:id="12"/>
    </w:p>
    <w:p w14:paraId="1227577C" w14:textId="77777777" w:rsidR="00B8782F" w:rsidRPr="006D75F3" w:rsidRDefault="00B8782F" w:rsidP="006D75F3">
      <w:pPr>
        <w:pStyle w:val="DefinedTermPara"/>
        <w:numPr>
          <w:ilvl w:val="0"/>
          <w:numId w:val="0"/>
        </w:numPr>
        <w:spacing w:after="0" w:line="20" w:lineRule="atLeast"/>
        <w:rPr>
          <w:sz w:val="20"/>
        </w:rPr>
      </w:pPr>
    </w:p>
    <w:p w14:paraId="159FDAED" w14:textId="49A8A76D" w:rsidR="00B8782F" w:rsidRPr="0025158B" w:rsidRDefault="00000000" w:rsidP="0025158B">
      <w:pPr>
        <w:pStyle w:val="DefinedTermPara"/>
        <w:numPr>
          <w:ilvl w:val="0"/>
          <w:numId w:val="25"/>
        </w:numPr>
        <w:spacing w:after="0" w:line="20" w:lineRule="atLeast"/>
        <w:rPr>
          <w:rStyle w:val="DefTerm"/>
          <w:sz w:val="20"/>
        </w:rPr>
      </w:pPr>
      <w:bookmarkStart w:id="13" w:name="a618113"/>
      <w:r w:rsidRPr="0025158B">
        <w:rPr>
          <w:rStyle w:val="DefTerm"/>
          <w:sz w:val="20"/>
        </w:rPr>
        <w:t>Data Protection Legislation</w:t>
      </w:r>
      <w:r w:rsidRPr="0025158B">
        <w:rPr>
          <w:rStyle w:val="DefTerm"/>
          <w:b w:val="0"/>
          <w:sz w:val="20"/>
        </w:rPr>
        <w:t>:</w:t>
      </w:r>
      <w:r w:rsidRPr="0025158B">
        <w:rPr>
          <w:sz w:val="20"/>
        </w:rPr>
        <w:t xml:space="preserve"> all applicable data protection and privacy legislation in force from time to time in the UK including the UK GDPR; the Data Protection Act 2018 (DPA 2018) (and regulations made thereunder);  and the Privacy and Electronic Communications Regulations 2003 (SI 2003 No. 2426) as amended; [and all other legislation and regulatory requirements in force from time to time which apply to a party relating to the use of Personal Data (including, without limitation, the privacy of electronic communications); and the guidance and codes of practice issued by the Information Commissioner or other relevant data protection or supervisory authority and applicable to a party.</w:t>
      </w:r>
      <w:bookmarkStart w:id="14" w:name="a258154"/>
      <w:bookmarkEnd w:id="13"/>
    </w:p>
    <w:p w14:paraId="3CB25D7D" w14:textId="77777777" w:rsidR="0025158B" w:rsidRDefault="0025158B" w:rsidP="006D75F3">
      <w:pPr>
        <w:pStyle w:val="DefinedTermPara"/>
        <w:numPr>
          <w:ilvl w:val="0"/>
          <w:numId w:val="0"/>
        </w:numPr>
        <w:spacing w:after="0" w:line="20" w:lineRule="atLeast"/>
        <w:ind w:left="720"/>
        <w:rPr>
          <w:rStyle w:val="DefTerm"/>
          <w:sz w:val="20"/>
        </w:rPr>
      </w:pPr>
    </w:p>
    <w:p w14:paraId="63EEE8C0" w14:textId="662BE30D" w:rsidR="00F96AC2" w:rsidRPr="006D75F3" w:rsidRDefault="00000000" w:rsidP="006D75F3">
      <w:pPr>
        <w:pStyle w:val="DefinedTermPara"/>
        <w:numPr>
          <w:ilvl w:val="0"/>
          <w:numId w:val="0"/>
        </w:numPr>
        <w:spacing w:after="0" w:line="20" w:lineRule="atLeast"/>
        <w:ind w:left="720"/>
        <w:rPr>
          <w:sz w:val="20"/>
        </w:rPr>
      </w:pPr>
      <w:r w:rsidRPr="006D75F3">
        <w:rPr>
          <w:rStyle w:val="DefTerm"/>
          <w:sz w:val="20"/>
        </w:rPr>
        <w:t>UK GDPR</w:t>
      </w:r>
      <w:r w:rsidRPr="006D75F3">
        <w:rPr>
          <w:sz w:val="20"/>
        </w:rPr>
        <w:t>: has the meaning given to it in section 3(10) (as supplemented by section 205(4)) of the Data Protection Act 2018.</w:t>
      </w:r>
      <w:bookmarkEnd w:id="14"/>
    </w:p>
    <w:p w14:paraId="47C0C406" w14:textId="77777777" w:rsidR="00B8782F" w:rsidRPr="006D75F3" w:rsidRDefault="00B8782F" w:rsidP="006D75F3">
      <w:pPr>
        <w:pStyle w:val="DefinedTermPara"/>
        <w:numPr>
          <w:ilvl w:val="0"/>
          <w:numId w:val="25"/>
        </w:numPr>
        <w:spacing w:after="0" w:line="20" w:lineRule="atLeast"/>
        <w:rPr>
          <w:rStyle w:val="DefTerm"/>
          <w:b w:val="0"/>
          <w:sz w:val="20"/>
        </w:rPr>
      </w:pPr>
      <w:bookmarkStart w:id="15" w:name="a891828"/>
    </w:p>
    <w:p w14:paraId="5F63F6CC" w14:textId="309E6621" w:rsidR="00F96AC2" w:rsidRPr="006D75F3" w:rsidRDefault="00000000" w:rsidP="006D75F3">
      <w:pPr>
        <w:pStyle w:val="DefinedTermPara"/>
        <w:numPr>
          <w:ilvl w:val="0"/>
          <w:numId w:val="25"/>
        </w:numPr>
        <w:spacing w:after="0" w:line="20" w:lineRule="atLeast"/>
        <w:rPr>
          <w:sz w:val="20"/>
        </w:rPr>
      </w:pPr>
      <w:r w:rsidRPr="006D75F3">
        <w:rPr>
          <w:rStyle w:val="DefTerm"/>
          <w:sz w:val="20"/>
        </w:rPr>
        <w:t>Personal Data Breach</w:t>
      </w:r>
      <w:r w:rsidRPr="006D75F3">
        <w:rPr>
          <w:sz w:val="20"/>
        </w:rPr>
        <w:t>: a breach of security leading to the accidental or unlawful destruction, loss, alteration, unauthorised disclosure of, or access to the Shared Personal Data.</w:t>
      </w:r>
      <w:bookmarkEnd w:id="15"/>
    </w:p>
    <w:p w14:paraId="18FFE347" w14:textId="75111037" w:rsidR="00F96AC2" w:rsidRPr="006D75F3" w:rsidRDefault="00000000" w:rsidP="006D75F3">
      <w:pPr>
        <w:pStyle w:val="DefinedTermPara"/>
        <w:numPr>
          <w:ilvl w:val="0"/>
          <w:numId w:val="25"/>
        </w:numPr>
        <w:spacing w:after="0" w:line="20" w:lineRule="atLeast"/>
        <w:rPr>
          <w:sz w:val="20"/>
        </w:rPr>
      </w:pPr>
      <w:bookmarkStart w:id="16" w:name="a485421"/>
      <w:r w:rsidRPr="006D75F3">
        <w:rPr>
          <w:rStyle w:val="DefTerm"/>
          <w:sz w:val="20"/>
        </w:rPr>
        <w:lastRenderedPageBreak/>
        <w:t>Shared Personal Data</w:t>
      </w:r>
      <w:r w:rsidRPr="006D75F3">
        <w:rPr>
          <w:sz w:val="20"/>
        </w:rPr>
        <w:t xml:space="preserve">: the Personal Data [and Special Categories of Personal Data] to be shared between the parties under </w:t>
      </w:r>
      <w:r w:rsidRPr="006D75F3">
        <w:rPr>
          <w:sz w:val="20"/>
        </w:rPr>
        <w:fldChar w:fldCharType="begin"/>
      </w:r>
      <w:r w:rsidRPr="006D75F3">
        <w:rPr>
          <w:sz w:val="20"/>
        </w:rPr>
        <w:instrText>PAGEREF a164129\# "'clause '"  \h</w:instrText>
      </w:r>
      <w:r w:rsidRPr="006D75F3">
        <w:rPr>
          <w:sz w:val="20"/>
        </w:rPr>
      </w:r>
      <w:r w:rsidRPr="006D75F3">
        <w:rPr>
          <w:sz w:val="20"/>
        </w:rPr>
        <w:fldChar w:fldCharType="separate"/>
      </w:r>
      <w:r w:rsidRPr="006D75F3">
        <w:rPr>
          <w:sz w:val="20"/>
        </w:rPr>
        <w:t xml:space="preserve">clause </w:t>
      </w:r>
      <w:r w:rsidRPr="006D75F3">
        <w:rPr>
          <w:sz w:val="20"/>
        </w:rPr>
        <w:fldChar w:fldCharType="end"/>
      </w:r>
      <w:r w:rsidRPr="006D75F3">
        <w:rPr>
          <w:sz w:val="20"/>
        </w:rPr>
        <w:fldChar w:fldCharType="begin"/>
      </w:r>
      <w:r w:rsidRPr="006D75F3">
        <w:rPr>
          <w:sz w:val="20"/>
          <w:highlight w:val="lightGray"/>
        </w:rPr>
        <w:instrText>REF a164129 \h \w</w:instrText>
      </w:r>
      <w:r w:rsidR="00B8782F" w:rsidRPr="006D75F3">
        <w:rPr>
          <w:sz w:val="20"/>
        </w:rPr>
        <w:instrText xml:space="preserve"> \* MERGEFORMAT </w:instrText>
      </w:r>
      <w:r w:rsidRPr="006D75F3">
        <w:rPr>
          <w:sz w:val="20"/>
        </w:rPr>
      </w:r>
      <w:r w:rsidRPr="006D75F3">
        <w:rPr>
          <w:sz w:val="20"/>
        </w:rPr>
        <w:fldChar w:fldCharType="separate"/>
      </w:r>
      <w:r w:rsidRPr="006D75F3">
        <w:rPr>
          <w:sz w:val="20"/>
        </w:rPr>
        <w:t>4</w:t>
      </w:r>
      <w:r w:rsidRPr="006D75F3">
        <w:rPr>
          <w:sz w:val="20"/>
        </w:rPr>
        <w:fldChar w:fldCharType="end"/>
      </w:r>
      <w:r w:rsidRPr="006D75F3">
        <w:rPr>
          <w:sz w:val="20"/>
        </w:rPr>
        <w:t xml:space="preserve"> of this Agreement.</w:t>
      </w:r>
      <w:bookmarkEnd w:id="16"/>
    </w:p>
    <w:p w14:paraId="5C32BA25" w14:textId="77777777" w:rsidR="00B8782F" w:rsidRPr="006D75F3" w:rsidRDefault="00B8782F" w:rsidP="006D75F3">
      <w:pPr>
        <w:pStyle w:val="DefinedTermPara"/>
        <w:numPr>
          <w:ilvl w:val="0"/>
          <w:numId w:val="25"/>
        </w:numPr>
        <w:spacing w:after="0" w:line="20" w:lineRule="atLeast"/>
        <w:rPr>
          <w:rStyle w:val="DefTerm"/>
          <w:b w:val="0"/>
          <w:sz w:val="20"/>
        </w:rPr>
      </w:pPr>
      <w:bookmarkStart w:id="17" w:name="a329468"/>
    </w:p>
    <w:p w14:paraId="2BBED53D" w14:textId="492CF152" w:rsidR="00F96AC2" w:rsidRPr="006D75F3" w:rsidRDefault="00000000" w:rsidP="006D75F3">
      <w:pPr>
        <w:pStyle w:val="DefinedTermPara"/>
        <w:numPr>
          <w:ilvl w:val="0"/>
          <w:numId w:val="25"/>
        </w:numPr>
        <w:spacing w:after="0" w:line="20" w:lineRule="atLeast"/>
        <w:rPr>
          <w:sz w:val="20"/>
        </w:rPr>
      </w:pPr>
      <w:r w:rsidRPr="006D75F3">
        <w:rPr>
          <w:rStyle w:val="DefTerm"/>
          <w:sz w:val="20"/>
        </w:rPr>
        <w:t>Special Categories of Personal Data</w:t>
      </w:r>
      <w:r w:rsidRPr="006D75F3">
        <w:rPr>
          <w:sz w:val="20"/>
        </w:rPr>
        <w:t>: the categories of Personal Data set out in the Data Protection Legislation.</w:t>
      </w:r>
      <w:bookmarkEnd w:id="17"/>
    </w:p>
    <w:p w14:paraId="4815A066" w14:textId="77777777" w:rsidR="00B8782F" w:rsidRPr="006D75F3" w:rsidRDefault="00B8782F" w:rsidP="006D75F3">
      <w:pPr>
        <w:pStyle w:val="DefinedTermPara"/>
        <w:numPr>
          <w:ilvl w:val="0"/>
          <w:numId w:val="25"/>
        </w:numPr>
        <w:spacing w:after="0" w:line="20" w:lineRule="atLeast"/>
        <w:rPr>
          <w:rStyle w:val="DefTerm"/>
          <w:b w:val="0"/>
          <w:sz w:val="20"/>
        </w:rPr>
      </w:pPr>
      <w:bookmarkStart w:id="18" w:name="a839399"/>
    </w:p>
    <w:p w14:paraId="530752B6" w14:textId="211BF1BD" w:rsidR="00F96AC2" w:rsidRPr="006D75F3" w:rsidRDefault="00000000" w:rsidP="006D75F3">
      <w:pPr>
        <w:pStyle w:val="DefinedTermPara"/>
        <w:numPr>
          <w:ilvl w:val="0"/>
          <w:numId w:val="25"/>
        </w:numPr>
        <w:spacing w:after="0" w:line="20" w:lineRule="atLeast"/>
        <w:rPr>
          <w:sz w:val="20"/>
        </w:rPr>
      </w:pPr>
      <w:r w:rsidRPr="006D75F3">
        <w:rPr>
          <w:rStyle w:val="DefTerm"/>
          <w:sz w:val="20"/>
        </w:rPr>
        <w:t>Subject Rights Request</w:t>
      </w:r>
      <w:r w:rsidRPr="006D75F3">
        <w:rPr>
          <w:sz w:val="20"/>
        </w:rPr>
        <w:t>: the exercise by a data subject of their rights under the Data Protection Legislation.</w:t>
      </w:r>
      <w:bookmarkEnd w:id="18"/>
    </w:p>
    <w:p w14:paraId="11322101" w14:textId="77777777" w:rsidR="00B8782F" w:rsidRPr="006D75F3" w:rsidRDefault="00B8782F" w:rsidP="006D75F3">
      <w:pPr>
        <w:pStyle w:val="DefinedTermPara"/>
        <w:numPr>
          <w:ilvl w:val="0"/>
          <w:numId w:val="25"/>
        </w:numPr>
        <w:spacing w:after="0" w:line="20" w:lineRule="atLeast"/>
        <w:rPr>
          <w:rStyle w:val="DefTerm"/>
          <w:b w:val="0"/>
          <w:sz w:val="20"/>
        </w:rPr>
      </w:pPr>
      <w:bookmarkStart w:id="19" w:name="a240959"/>
    </w:p>
    <w:p w14:paraId="5AFCE9E1" w14:textId="00B74080" w:rsidR="00F96AC2" w:rsidRPr="006D75F3" w:rsidRDefault="00000000" w:rsidP="006D75F3">
      <w:pPr>
        <w:pStyle w:val="DefinedTermPara"/>
        <w:numPr>
          <w:ilvl w:val="0"/>
          <w:numId w:val="25"/>
        </w:numPr>
        <w:spacing w:after="0" w:line="20" w:lineRule="atLeast"/>
        <w:rPr>
          <w:sz w:val="20"/>
        </w:rPr>
      </w:pPr>
      <w:r w:rsidRPr="006D75F3">
        <w:rPr>
          <w:rStyle w:val="DefTerm"/>
          <w:sz w:val="20"/>
        </w:rPr>
        <w:t>Supervisory Authority</w:t>
      </w:r>
      <w:r w:rsidRPr="006D75F3">
        <w:rPr>
          <w:sz w:val="20"/>
        </w:rPr>
        <w:t>: the relevant supervisory authority in the territories where the parties to this Agreement are established (other than the Information Commissioner).</w:t>
      </w:r>
      <w:bookmarkEnd w:id="19"/>
    </w:p>
    <w:p w14:paraId="7B397715" w14:textId="77777777" w:rsidR="00B8782F" w:rsidRPr="006D75F3" w:rsidRDefault="00B8782F" w:rsidP="006D75F3">
      <w:pPr>
        <w:pStyle w:val="DefinedTermPara"/>
        <w:numPr>
          <w:ilvl w:val="0"/>
          <w:numId w:val="25"/>
        </w:numPr>
        <w:spacing w:after="0" w:line="20" w:lineRule="atLeast"/>
        <w:rPr>
          <w:rStyle w:val="DefTerm"/>
          <w:b w:val="0"/>
          <w:sz w:val="20"/>
        </w:rPr>
      </w:pPr>
      <w:bookmarkStart w:id="20" w:name="a114097"/>
    </w:p>
    <w:p w14:paraId="33A54DCE" w14:textId="06C7CBF1" w:rsidR="00F96AC2" w:rsidRPr="006D75F3" w:rsidRDefault="00000000" w:rsidP="006D75F3">
      <w:pPr>
        <w:pStyle w:val="DefinedTermPara"/>
        <w:numPr>
          <w:ilvl w:val="0"/>
          <w:numId w:val="25"/>
        </w:numPr>
        <w:spacing w:after="0" w:line="20" w:lineRule="atLeast"/>
        <w:rPr>
          <w:sz w:val="20"/>
        </w:rPr>
      </w:pPr>
      <w:r w:rsidRPr="006D75F3">
        <w:rPr>
          <w:rStyle w:val="DefTerm"/>
          <w:sz w:val="20"/>
        </w:rPr>
        <w:t>Term</w:t>
      </w:r>
      <w:r w:rsidRPr="006D75F3">
        <w:rPr>
          <w:sz w:val="20"/>
        </w:rPr>
        <w:t xml:space="preserve">: </w:t>
      </w:r>
      <w:bookmarkEnd w:id="20"/>
      <w:r w:rsidR="00180C50">
        <w:rPr>
          <w:sz w:val="20"/>
        </w:rPr>
        <w:t>twelve (12) months from the Commencement Date.</w:t>
      </w:r>
    </w:p>
    <w:p w14:paraId="4B39C06F" w14:textId="77777777" w:rsidR="00B8782F" w:rsidRPr="006D75F3" w:rsidRDefault="00B8782F" w:rsidP="006D75F3">
      <w:pPr>
        <w:pStyle w:val="DefinedTermPara"/>
        <w:numPr>
          <w:ilvl w:val="0"/>
          <w:numId w:val="0"/>
        </w:numPr>
        <w:spacing w:after="0" w:line="20" w:lineRule="atLeast"/>
        <w:rPr>
          <w:sz w:val="20"/>
        </w:rPr>
      </w:pPr>
    </w:p>
    <w:p w14:paraId="67A6B558" w14:textId="77777777" w:rsidR="00F96AC2" w:rsidRPr="006D75F3" w:rsidRDefault="00000000" w:rsidP="006D75F3">
      <w:pPr>
        <w:pStyle w:val="Untitledsubclause1"/>
        <w:spacing w:before="0" w:after="0" w:line="20" w:lineRule="atLeast"/>
        <w:rPr>
          <w:sz w:val="20"/>
        </w:rPr>
      </w:pPr>
      <w:bookmarkStart w:id="21" w:name="a887133"/>
      <w:r w:rsidRPr="006D75F3">
        <w:rPr>
          <w:b/>
          <w:sz w:val="20"/>
        </w:rPr>
        <w:t>Controller</w:t>
      </w:r>
      <w:r w:rsidRPr="006D75F3">
        <w:rPr>
          <w:sz w:val="20"/>
        </w:rPr>
        <w:t xml:space="preserve">, </w:t>
      </w:r>
      <w:r w:rsidRPr="006D75F3">
        <w:rPr>
          <w:b/>
          <w:sz w:val="20"/>
        </w:rPr>
        <w:t>Processor</w:t>
      </w:r>
      <w:r w:rsidRPr="006D75F3">
        <w:rPr>
          <w:sz w:val="20"/>
        </w:rPr>
        <w:t xml:space="preserve">, </w:t>
      </w:r>
      <w:r w:rsidRPr="006D75F3">
        <w:rPr>
          <w:b/>
          <w:bCs/>
          <w:sz w:val="20"/>
        </w:rPr>
        <w:t>Information Commissioner</w:t>
      </w:r>
      <w:r w:rsidRPr="006D75F3">
        <w:rPr>
          <w:sz w:val="20"/>
        </w:rPr>
        <w:t xml:space="preserve">, </w:t>
      </w:r>
      <w:r w:rsidRPr="006D75F3">
        <w:rPr>
          <w:b/>
          <w:sz w:val="20"/>
        </w:rPr>
        <w:t>Data Subject</w:t>
      </w:r>
      <w:r w:rsidRPr="006D75F3">
        <w:rPr>
          <w:sz w:val="20"/>
        </w:rPr>
        <w:t xml:space="preserve"> and </w:t>
      </w:r>
      <w:r w:rsidRPr="006D75F3">
        <w:rPr>
          <w:b/>
          <w:sz w:val="20"/>
        </w:rPr>
        <w:t>Personal Data</w:t>
      </w:r>
      <w:r w:rsidRPr="006D75F3">
        <w:rPr>
          <w:sz w:val="20"/>
        </w:rPr>
        <w:t xml:space="preserve">, </w:t>
      </w:r>
      <w:r w:rsidRPr="006D75F3">
        <w:rPr>
          <w:b/>
          <w:sz w:val="20"/>
        </w:rPr>
        <w:t>Processing</w:t>
      </w:r>
      <w:r w:rsidRPr="006D75F3">
        <w:rPr>
          <w:sz w:val="20"/>
        </w:rPr>
        <w:t xml:space="preserve"> and </w:t>
      </w:r>
      <w:r w:rsidRPr="006D75F3">
        <w:rPr>
          <w:b/>
          <w:bCs/>
          <w:sz w:val="20"/>
        </w:rPr>
        <w:t>appropriate technical and organisational</w:t>
      </w:r>
      <w:r w:rsidRPr="006D75F3">
        <w:rPr>
          <w:sz w:val="20"/>
        </w:rPr>
        <w:t xml:space="preserve"> measures shall have the meanings given to them in the Data Protection Legislation.</w:t>
      </w:r>
      <w:bookmarkEnd w:id="21"/>
    </w:p>
    <w:p w14:paraId="79B2C061" w14:textId="77777777" w:rsidR="00B8782F" w:rsidRPr="006D75F3" w:rsidRDefault="00B8782F" w:rsidP="006D75F3">
      <w:pPr>
        <w:pStyle w:val="Untitledsubclause1"/>
        <w:numPr>
          <w:ilvl w:val="0"/>
          <w:numId w:val="0"/>
        </w:numPr>
        <w:spacing w:before="0" w:after="0" w:line="20" w:lineRule="atLeast"/>
        <w:ind w:left="720"/>
        <w:rPr>
          <w:sz w:val="20"/>
        </w:rPr>
      </w:pPr>
    </w:p>
    <w:p w14:paraId="0187E530" w14:textId="77777777" w:rsidR="00F96AC2" w:rsidRPr="006D75F3" w:rsidRDefault="00000000" w:rsidP="006D75F3">
      <w:pPr>
        <w:pStyle w:val="Untitledsubclause1"/>
        <w:spacing w:before="0" w:after="0" w:line="20" w:lineRule="atLeast"/>
        <w:rPr>
          <w:sz w:val="20"/>
        </w:rPr>
      </w:pPr>
      <w:bookmarkStart w:id="22" w:name="a941644"/>
      <w:r w:rsidRPr="006D75F3">
        <w:rPr>
          <w:sz w:val="20"/>
        </w:rPr>
        <w:t>Clause, Schedule and paragraph headings shall not affect the interpretation of this Agreement.</w:t>
      </w:r>
      <w:bookmarkEnd w:id="22"/>
    </w:p>
    <w:p w14:paraId="4D489FEC" w14:textId="77777777" w:rsidR="00B8782F" w:rsidRPr="006D75F3" w:rsidRDefault="00B8782F" w:rsidP="006D75F3">
      <w:pPr>
        <w:pStyle w:val="Untitledsubclause1"/>
        <w:numPr>
          <w:ilvl w:val="0"/>
          <w:numId w:val="0"/>
        </w:numPr>
        <w:spacing w:before="0" w:after="0" w:line="20" w:lineRule="atLeast"/>
        <w:rPr>
          <w:sz w:val="20"/>
        </w:rPr>
      </w:pPr>
    </w:p>
    <w:p w14:paraId="55700B59" w14:textId="77777777" w:rsidR="00F96AC2" w:rsidRPr="006D75F3" w:rsidRDefault="00000000" w:rsidP="006D75F3">
      <w:pPr>
        <w:pStyle w:val="Untitledsubclause1"/>
        <w:spacing w:before="0" w:after="0" w:line="20" w:lineRule="atLeast"/>
        <w:rPr>
          <w:sz w:val="20"/>
        </w:rPr>
      </w:pPr>
      <w:bookmarkStart w:id="23" w:name="a813641"/>
      <w:r w:rsidRPr="006D75F3">
        <w:rPr>
          <w:sz w:val="20"/>
        </w:rPr>
        <w:t>The Schedules form part of this Agreement and shall have effect as if set out in full in the body of this Agreement. Any reference to this Agreement includes the Schedules.</w:t>
      </w:r>
      <w:bookmarkEnd w:id="23"/>
    </w:p>
    <w:p w14:paraId="4389B091" w14:textId="77777777" w:rsidR="00B8782F" w:rsidRPr="006D75F3" w:rsidRDefault="00B8782F" w:rsidP="006D75F3">
      <w:pPr>
        <w:pStyle w:val="Untitledsubclause1"/>
        <w:numPr>
          <w:ilvl w:val="0"/>
          <w:numId w:val="0"/>
        </w:numPr>
        <w:spacing w:before="0" w:after="0" w:line="20" w:lineRule="atLeast"/>
        <w:rPr>
          <w:sz w:val="20"/>
        </w:rPr>
      </w:pPr>
    </w:p>
    <w:p w14:paraId="467035EA" w14:textId="77777777" w:rsidR="00F96AC2" w:rsidRPr="006D75F3" w:rsidRDefault="00000000" w:rsidP="006D75F3">
      <w:pPr>
        <w:pStyle w:val="Untitledsubclause1"/>
        <w:spacing w:before="0" w:after="0" w:line="20" w:lineRule="atLeast"/>
        <w:rPr>
          <w:sz w:val="20"/>
        </w:rPr>
      </w:pPr>
      <w:bookmarkStart w:id="24" w:name="a138576"/>
      <w:r w:rsidRPr="006D75F3">
        <w:rPr>
          <w:sz w:val="20"/>
        </w:rPr>
        <w:t xml:space="preserve">Unless the context otherwise requires, words in the singular shall include the plural </w:t>
      </w:r>
      <w:proofErr w:type="gramStart"/>
      <w:r w:rsidRPr="006D75F3">
        <w:rPr>
          <w:sz w:val="20"/>
        </w:rPr>
        <w:t>and in the plural</w:t>
      </w:r>
      <w:proofErr w:type="gramEnd"/>
      <w:r w:rsidRPr="006D75F3">
        <w:rPr>
          <w:sz w:val="20"/>
        </w:rPr>
        <w:t xml:space="preserve"> shall include the singular.</w:t>
      </w:r>
      <w:bookmarkEnd w:id="24"/>
    </w:p>
    <w:p w14:paraId="5FFEFE92" w14:textId="77777777" w:rsidR="00B8782F" w:rsidRPr="006D75F3" w:rsidRDefault="00B8782F" w:rsidP="006D75F3">
      <w:pPr>
        <w:pStyle w:val="Untitledsubclause1"/>
        <w:numPr>
          <w:ilvl w:val="0"/>
          <w:numId w:val="0"/>
        </w:numPr>
        <w:spacing w:before="0" w:after="0" w:line="20" w:lineRule="atLeast"/>
        <w:rPr>
          <w:sz w:val="20"/>
        </w:rPr>
      </w:pPr>
    </w:p>
    <w:p w14:paraId="59D13C7B" w14:textId="77777777" w:rsidR="00F96AC2" w:rsidRPr="006D75F3" w:rsidRDefault="00000000" w:rsidP="006D75F3">
      <w:pPr>
        <w:pStyle w:val="Untitledsubclause1"/>
        <w:spacing w:before="0" w:after="0" w:line="20" w:lineRule="atLeast"/>
        <w:rPr>
          <w:sz w:val="20"/>
        </w:rPr>
      </w:pPr>
      <w:bookmarkStart w:id="25" w:name="a454440"/>
      <w:r w:rsidRPr="006D75F3">
        <w:rPr>
          <w:sz w:val="20"/>
        </w:rPr>
        <w:t>A reference to a company shall include any company, corporation or other body corporate, wherever and however incorporated or established.</w:t>
      </w:r>
      <w:bookmarkEnd w:id="25"/>
    </w:p>
    <w:p w14:paraId="0210A350" w14:textId="77777777" w:rsidR="00B8782F" w:rsidRPr="006D75F3" w:rsidRDefault="00B8782F" w:rsidP="006D75F3">
      <w:pPr>
        <w:pStyle w:val="Untitledsubclause1"/>
        <w:numPr>
          <w:ilvl w:val="0"/>
          <w:numId w:val="0"/>
        </w:numPr>
        <w:spacing w:before="0" w:after="0" w:line="20" w:lineRule="atLeast"/>
        <w:rPr>
          <w:sz w:val="20"/>
        </w:rPr>
      </w:pPr>
    </w:p>
    <w:p w14:paraId="4B0A18CB" w14:textId="5AA13288" w:rsidR="00F96AC2" w:rsidRPr="006D75F3" w:rsidRDefault="00000000" w:rsidP="006D75F3">
      <w:pPr>
        <w:pStyle w:val="Untitledsubclause1"/>
        <w:spacing w:before="0" w:after="0" w:line="20" w:lineRule="atLeast"/>
        <w:rPr>
          <w:sz w:val="20"/>
        </w:rPr>
      </w:pPr>
      <w:bookmarkStart w:id="26" w:name="a565805"/>
      <w:r w:rsidRPr="006D75F3">
        <w:rPr>
          <w:sz w:val="20"/>
        </w:rPr>
        <w:t>A reference to a legislation or legislative provision shall include all subordinate legislation made from time to time under that legislation or legislative provision.</w:t>
      </w:r>
      <w:bookmarkEnd w:id="26"/>
    </w:p>
    <w:p w14:paraId="39DA87D1" w14:textId="77777777" w:rsidR="00B8782F" w:rsidRPr="006D75F3" w:rsidRDefault="00B8782F" w:rsidP="006D75F3">
      <w:pPr>
        <w:pStyle w:val="Untitledsubclause1"/>
        <w:numPr>
          <w:ilvl w:val="0"/>
          <w:numId w:val="0"/>
        </w:numPr>
        <w:spacing w:before="0" w:after="0" w:line="20" w:lineRule="atLeast"/>
        <w:ind w:left="720"/>
        <w:rPr>
          <w:sz w:val="20"/>
        </w:rPr>
      </w:pPr>
    </w:p>
    <w:p w14:paraId="5D6602FA" w14:textId="77777777" w:rsidR="00F96AC2" w:rsidRPr="006D75F3" w:rsidRDefault="00000000" w:rsidP="006D75F3">
      <w:pPr>
        <w:pStyle w:val="Untitledsubclause1"/>
        <w:spacing w:before="0" w:after="0" w:line="20" w:lineRule="atLeast"/>
        <w:rPr>
          <w:sz w:val="20"/>
        </w:rPr>
      </w:pPr>
      <w:bookmarkStart w:id="27" w:name="a990122"/>
      <w:r w:rsidRPr="006D75F3">
        <w:rPr>
          <w:sz w:val="20"/>
        </w:rPr>
        <w:t>References to clauses and Schedules are to the clauses and Schedules of this Agreement and references to paragraphs are to paragraphs of the relevant Schedule.</w:t>
      </w:r>
      <w:bookmarkEnd w:id="27"/>
    </w:p>
    <w:p w14:paraId="5E5F084E" w14:textId="77777777" w:rsidR="00B8782F" w:rsidRPr="006D75F3" w:rsidRDefault="00B8782F" w:rsidP="006D75F3">
      <w:pPr>
        <w:pStyle w:val="Untitledsubclause1"/>
        <w:numPr>
          <w:ilvl w:val="0"/>
          <w:numId w:val="0"/>
        </w:numPr>
        <w:spacing w:before="0" w:after="0" w:line="20" w:lineRule="atLeast"/>
        <w:rPr>
          <w:sz w:val="20"/>
        </w:rPr>
      </w:pPr>
    </w:p>
    <w:p w14:paraId="2D8D2BDB" w14:textId="77777777" w:rsidR="00F96AC2" w:rsidRPr="006D75F3" w:rsidRDefault="00000000" w:rsidP="006D75F3">
      <w:pPr>
        <w:pStyle w:val="Untitledsubclause1"/>
        <w:spacing w:before="0" w:after="0" w:line="20" w:lineRule="atLeast"/>
        <w:rPr>
          <w:sz w:val="20"/>
        </w:rPr>
      </w:pPr>
      <w:bookmarkStart w:id="28" w:name="a959320"/>
      <w:r w:rsidRPr="006D75F3">
        <w:rPr>
          <w:sz w:val="20"/>
        </w:rPr>
        <w:t xml:space="preserve">Any words following the terms </w:t>
      </w:r>
      <w:r w:rsidRPr="006D75F3">
        <w:rPr>
          <w:b/>
          <w:sz w:val="20"/>
        </w:rPr>
        <w:t>including</w:t>
      </w:r>
      <w:r w:rsidRPr="006D75F3">
        <w:rPr>
          <w:sz w:val="20"/>
        </w:rPr>
        <w:t xml:space="preserve">, </w:t>
      </w:r>
      <w:r w:rsidRPr="006D75F3">
        <w:rPr>
          <w:b/>
          <w:sz w:val="20"/>
        </w:rPr>
        <w:t>include</w:t>
      </w:r>
      <w:r w:rsidRPr="006D75F3">
        <w:rPr>
          <w:sz w:val="20"/>
        </w:rPr>
        <w:t xml:space="preserve">, </w:t>
      </w:r>
      <w:proofErr w:type="gramStart"/>
      <w:r w:rsidRPr="006D75F3">
        <w:rPr>
          <w:b/>
          <w:sz w:val="20"/>
        </w:rPr>
        <w:t>in particular</w:t>
      </w:r>
      <w:r w:rsidRPr="006D75F3">
        <w:rPr>
          <w:sz w:val="20"/>
        </w:rPr>
        <w:t xml:space="preserve"> or</w:t>
      </w:r>
      <w:proofErr w:type="gramEnd"/>
      <w:r w:rsidRPr="006D75F3">
        <w:rPr>
          <w:sz w:val="20"/>
        </w:rPr>
        <w:t xml:space="preserve"> </w:t>
      </w:r>
      <w:r w:rsidRPr="006D75F3">
        <w:rPr>
          <w:b/>
          <w:sz w:val="20"/>
        </w:rPr>
        <w:t>for example</w:t>
      </w:r>
      <w:r w:rsidRPr="006D75F3">
        <w:rPr>
          <w:sz w:val="20"/>
        </w:rPr>
        <w:t xml:space="preserve"> or any similar expression shall be construed as illustrative and shall not limit the sense of the words, description, definition, phrase or term preceding those terms.</w:t>
      </w:r>
      <w:bookmarkEnd w:id="28"/>
    </w:p>
    <w:p w14:paraId="078EEB21" w14:textId="77777777" w:rsidR="00B8782F" w:rsidRPr="006D75F3" w:rsidRDefault="00B8782F" w:rsidP="006D75F3">
      <w:pPr>
        <w:pStyle w:val="Untitledsubclause1"/>
        <w:numPr>
          <w:ilvl w:val="0"/>
          <w:numId w:val="0"/>
        </w:numPr>
        <w:spacing w:before="0" w:after="0" w:line="20" w:lineRule="atLeast"/>
        <w:rPr>
          <w:sz w:val="20"/>
        </w:rPr>
      </w:pPr>
    </w:p>
    <w:p w14:paraId="1BD82DC7" w14:textId="77777777" w:rsidR="00F96AC2" w:rsidRPr="006D75F3" w:rsidRDefault="00000000" w:rsidP="006D75F3">
      <w:pPr>
        <w:pStyle w:val="Untitledsubclause1"/>
        <w:spacing w:before="0" w:after="0" w:line="20" w:lineRule="atLeast"/>
        <w:rPr>
          <w:sz w:val="20"/>
        </w:rPr>
      </w:pPr>
      <w:bookmarkStart w:id="29" w:name="a114172"/>
      <w:r w:rsidRPr="006D75F3">
        <w:rPr>
          <w:sz w:val="20"/>
        </w:rPr>
        <w:t>In the case of any ambiguity between any provision contained in the body of this Agreement and any provision contained in the Schedules, the provision in the body of this Agreement shall take precedence.</w:t>
      </w:r>
      <w:bookmarkEnd w:id="29"/>
    </w:p>
    <w:p w14:paraId="39BCF3CA" w14:textId="77777777" w:rsidR="00B8782F" w:rsidRPr="006D75F3" w:rsidRDefault="00B8782F" w:rsidP="006D75F3">
      <w:pPr>
        <w:pStyle w:val="Untitledsubclause1"/>
        <w:numPr>
          <w:ilvl w:val="0"/>
          <w:numId w:val="0"/>
        </w:numPr>
        <w:spacing w:before="0" w:after="0" w:line="20" w:lineRule="atLeast"/>
        <w:rPr>
          <w:sz w:val="20"/>
        </w:rPr>
      </w:pPr>
    </w:p>
    <w:p w14:paraId="4F60EE21" w14:textId="580E3D48" w:rsidR="00F96AC2" w:rsidRPr="006D75F3" w:rsidRDefault="00000000" w:rsidP="006D75F3">
      <w:pPr>
        <w:pStyle w:val="Untitledsubclause1"/>
        <w:spacing w:before="0" w:after="0" w:line="20" w:lineRule="atLeast"/>
        <w:rPr>
          <w:sz w:val="20"/>
        </w:rPr>
      </w:pPr>
      <w:bookmarkStart w:id="30" w:name="a777934"/>
      <w:r w:rsidRPr="006D75F3">
        <w:rPr>
          <w:sz w:val="20"/>
        </w:rPr>
        <w:t xml:space="preserve">A reference to </w:t>
      </w:r>
      <w:r w:rsidRPr="006D75F3">
        <w:rPr>
          <w:b/>
          <w:sz w:val="20"/>
        </w:rPr>
        <w:t>writing</w:t>
      </w:r>
      <w:r w:rsidRPr="006D75F3">
        <w:rPr>
          <w:sz w:val="20"/>
        </w:rPr>
        <w:t xml:space="preserve"> or </w:t>
      </w:r>
      <w:r w:rsidRPr="006D75F3">
        <w:rPr>
          <w:b/>
          <w:sz w:val="20"/>
        </w:rPr>
        <w:t>written</w:t>
      </w:r>
      <w:r w:rsidRPr="006D75F3">
        <w:rPr>
          <w:sz w:val="20"/>
        </w:rPr>
        <w:t xml:space="preserve"> includes fax and email</w:t>
      </w:r>
      <w:bookmarkEnd w:id="30"/>
      <w:r w:rsidR="00B8782F" w:rsidRPr="006D75F3">
        <w:rPr>
          <w:sz w:val="20"/>
        </w:rPr>
        <w:t>.</w:t>
      </w:r>
    </w:p>
    <w:p w14:paraId="6A9BC402" w14:textId="77777777" w:rsidR="00B8782F" w:rsidRPr="006D75F3" w:rsidRDefault="00B8782F" w:rsidP="006D75F3">
      <w:pPr>
        <w:pStyle w:val="Untitledsubclause1"/>
        <w:numPr>
          <w:ilvl w:val="0"/>
          <w:numId w:val="0"/>
        </w:numPr>
        <w:spacing w:before="0" w:after="0" w:line="20" w:lineRule="atLeast"/>
        <w:rPr>
          <w:sz w:val="20"/>
        </w:rPr>
      </w:pPr>
    </w:p>
    <w:p w14:paraId="549C42BA" w14:textId="77777777" w:rsidR="00F96AC2" w:rsidRPr="006D75F3" w:rsidRDefault="00000000" w:rsidP="006D75F3">
      <w:pPr>
        <w:pStyle w:val="Untitledsubclause1"/>
        <w:spacing w:before="0" w:after="0" w:line="20" w:lineRule="atLeast"/>
        <w:rPr>
          <w:sz w:val="20"/>
        </w:rPr>
      </w:pPr>
      <w:bookmarkStart w:id="31" w:name="a985971"/>
      <w:r w:rsidRPr="006D75F3">
        <w:rPr>
          <w:sz w:val="20"/>
        </w:rPr>
        <w:t>Unless the context otherwise requires the reference to one gender shall include a reference to the other genders.</w:t>
      </w:r>
      <w:bookmarkEnd w:id="31"/>
    </w:p>
    <w:p w14:paraId="22345624" w14:textId="77777777" w:rsidR="00B8782F" w:rsidRPr="006D75F3" w:rsidRDefault="00B8782F" w:rsidP="006D75F3">
      <w:pPr>
        <w:pStyle w:val="Untitledsubclause1"/>
        <w:numPr>
          <w:ilvl w:val="0"/>
          <w:numId w:val="0"/>
        </w:numPr>
        <w:spacing w:before="0" w:after="0" w:line="20" w:lineRule="atLeast"/>
        <w:rPr>
          <w:sz w:val="20"/>
        </w:rPr>
      </w:pPr>
    </w:p>
    <w:p w14:paraId="09B8B224" w14:textId="2FCA344A"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"2. Purpose" \l 1</w:instrText>
      </w:r>
      <w:r w:rsidRPr="006D75F3">
        <w:rPr>
          <w:sz w:val="20"/>
        </w:rPr>
        <w:fldChar w:fldCharType="end"/>
      </w:r>
      <w:bookmarkStart w:id="32" w:name="_Toc256000001"/>
      <w:bookmarkStart w:id="33" w:name="a508264"/>
      <w:r w:rsidR="00B8782F" w:rsidRPr="006D75F3">
        <w:rPr>
          <w:sz w:val="20"/>
        </w:rPr>
        <w:t>PURPOSE</w:t>
      </w:r>
      <w:bookmarkEnd w:id="32"/>
      <w:bookmarkEnd w:id="33"/>
    </w:p>
    <w:p w14:paraId="57439A9D" w14:textId="77777777" w:rsidR="00B8782F" w:rsidRPr="006D75F3" w:rsidRDefault="00B8782F" w:rsidP="006D75F3">
      <w:pPr>
        <w:pStyle w:val="TitleClause"/>
        <w:numPr>
          <w:ilvl w:val="0"/>
          <w:numId w:val="0"/>
        </w:numPr>
        <w:spacing w:before="0" w:after="0" w:line="20" w:lineRule="atLeast"/>
        <w:ind w:left="720"/>
        <w:rPr>
          <w:sz w:val="20"/>
        </w:rPr>
      </w:pPr>
    </w:p>
    <w:p w14:paraId="0D96B705" w14:textId="77777777" w:rsidR="00F96AC2" w:rsidRPr="006D75F3" w:rsidRDefault="00000000" w:rsidP="006D75F3">
      <w:pPr>
        <w:pStyle w:val="Untitledsubclause1"/>
        <w:spacing w:before="0" w:after="0" w:line="20" w:lineRule="atLeast"/>
        <w:rPr>
          <w:sz w:val="20"/>
        </w:rPr>
      </w:pPr>
      <w:bookmarkStart w:id="34" w:name="a849551"/>
      <w:r w:rsidRPr="006D75F3">
        <w:rPr>
          <w:sz w:val="20"/>
        </w:rPr>
        <w:t xml:space="preserve">This Agreement sets out the framework for the sharing of </w:t>
      </w:r>
      <w:r w:rsidRPr="006D75F3">
        <w:rPr>
          <w:b/>
          <w:sz w:val="20"/>
        </w:rPr>
        <w:t>Personal Data</w:t>
      </w:r>
      <w:r w:rsidRPr="006D75F3">
        <w:rPr>
          <w:sz w:val="20"/>
        </w:rPr>
        <w:t xml:space="preserve"> when one </w:t>
      </w:r>
      <w:r w:rsidRPr="006D75F3">
        <w:rPr>
          <w:b/>
          <w:sz w:val="20"/>
        </w:rPr>
        <w:t>Controller</w:t>
      </w:r>
      <w:r w:rsidRPr="006D75F3">
        <w:rPr>
          <w:sz w:val="20"/>
        </w:rPr>
        <w:t xml:space="preserve"> (the Data Discloser) discloses Personal Data to [another </w:t>
      </w:r>
      <w:r w:rsidRPr="006D75F3">
        <w:rPr>
          <w:b/>
          <w:sz w:val="20"/>
        </w:rPr>
        <w:t xml:space="preserve">Controller OR </w:t>
      </w:r>
      <w:r w:rsidRPr="006D75F3">
        <w:rPr>
          <w:sz w:val="20"/>
        </w:rPr>
        <w:t>other</w:t>
      </w:r>
      <w:r w:rsidRPr="006D75F3">
        <w:rPr>
          <w:b/>
          <w:sz w:val="20"/>
        </w:rPr>
        <w:t xml:space="preserve"> Controllers</w:t>
      </w:r>
      <w:r w:rsidRPr="006D75F3">
        <w:rPr>
          <w:sz w:val="20"/>
        </w:rPr>
        <w:t>] (the Data Receiver/s). It defines the principles and procedures that the parties shall adhere to and the responsibilities the parties owe to each other.</w:t>
      </w:r>
      <w:bookmarkEnd w:id="34"/>
    </w:p>
    <w:p w14:paraId="1AA74E9F" w14:textId="77777777" w:rsidR="00B8782F" w:rsidRPr="006D75F3" w:rsidRDefault="00B8782F" w:rsidP="006D75F3">
      <w:pPr>
        <w:pStyle w:val="Untitledsubclause1"/>
        <w:numPr>
          <w:ilvl w:val="0"/>
          <w:numId w:val="0"/>
        </w:numPr>
        <w:spacing w:before="0" w:after="0" w:line="20" w:lineRule="atLeast"/>
        <w:ind w:left="720"/>
        <w:rPr>
          <w:sz w:val="20"/>
        </w:rPr>
      </w:pPr>
    </w:p>
    <w:p w14:paraId="69F7E72C" w14:textId="04C4ECBE" w:rsidR="00F96AC2" w:rsidRPr="006D75F3" w:rsidRDefault="00000000" w:rsidP="006D75F3">
      <w:pPr>
        <w:pStyle w:val="Untitledsubclause1"/>
        <w:spacing w:before="0" w:after="0" w:line="20" w:lineRule="atLeast"/>
        <w:rPr>
          <w:sz w:val="20"/>
        </w:rPr>
      </w:pPr>
      <w:bookmarkStart w:id="35" w:name="a996554"/>
      <w:r w:rsidRPr="006D75F3">
        <w:rPr>
          <w:sz w:val="20"/>
        </w:rPr>
        <w:t xml:space="preserve">The parties consider this data sharing initiative necessary and proportionate as </w:t>
      </w:r>
      <w:r w:rsidR="00E50B90">
        <w:rPr>
          <w:sz w:val="20"/>
        </w:rPr>
        <w:t xml:space="preserve">per the memorandum of agreement between both parties, ensuring that the Students’ Union </w:t>
      </w:r>
      <w:proofErr w:type="gramStart"/>
      <w:r w:rsidR="00E50B90">
        <w:rPr>
          <w:sz w:val="20"/>
        </w:rPr>
        <w:t>are able to</w:t>
      </w:r>
      <w:proofErr w:type="gramEnd"/>
      <w:r w:rsidR="00E50B90">
        <w:rPr>
          <w:sz w:val="20"/>
        </w:rPr>
        <w:t xml:space="preserve"> communicate to its members and deliver on its purpose as per the Education Act 1992.</w:t>
      </w:r>
      <w:r w:rsidRPr="006D75F3">
        <w:rPr>
          <w:sz w:val="20"/>
        </w:rPr>
        <w:t xml:space="preserve"> The aim of the data sharing initiative is to</w:t>
      </w:r>
      <w:r w:rsidR="00E50B90">
        <w:rPr>
          <w:sz w:val="20"/>
        </w:rPr>
        <w:t xml:space="preserve"> ensure that students are able to stand for position and vote in the Students’ Union elections, to be able to join a sports club or society, to receive impartial advice from our advice services and to ensure that students have access to the student feedback platforms provided by the Students’ Union</w:t>
      </w:r>
      <w:r w:rsidRPr="006D75F3">
        <w:rPr>
          <w:sz w:val="20"/>
        </w:rPr>
        <w:t xml:space="preserve"> It is fair as it will benefit</w:t>
      </w:r>
      <w:r w:rsidR="00E50B90">
        <w:rPr>
          <w:sz w:val="20"/>
        </w:rPr>
        <w:t xml:space="preserve"> all students of Wrexham </w:t>
      </w:r>
      <w:r w:rsidR="00E50B90">
        <w:rPr>
          <w:sz w:val="20"/>
        </w:rPr>
        <w:lastRenderedPageBreak/>
        <w:t>University and will</w:t>
      </w:r>
      <w:r w:rsidRPr="006D75F3">
        <w:rPr>
          <w:sz w:val="20"/>
        </w:rPr>
        <w:t xml:space="preserve"> </w:t>
      </w:r>
      <w:r w:rsidR="00E50B90">
        <w:rPr>
          <w:sz w:val="20"/>
        </w:rPr>
        <w:t xml:space="preserve">benefit from the above </w:t>
      </w:r>
      <w:r w:rsidRPr="006D75F3">
        <w:rPr>
          <w:sz w:val="20"/>
        </w:rPr>
        <w:t>and not unduly infringe the Data Subjects' fundamental rights and freedoms and interests.</w:t>
      </w:r>
      <w:bookmarkEnd w:id="35"/>
    </w:p>
    <w:p w14:paraId="08A89EA0" w14:textId="77777777" w:rsidR="00B8782F" w:rsidRPr="006D75F3" w:rsidRDefault="00B8782F" w:rsidP="006D75F3">
      <w:pPr>
        <w:pStyle w:val="Untitledsubclause1"/>
        <w:numPr>
          <w:ilvl w:val="0"/>
          <w:numId w:val="0"/>
        </w:numPr>
        <w:spacing w:before="0" w:after="0" w:line="20" w:lineRule="atLeast"/>
        <w:rPr>
          <w:sz w:val="20"/>
        </w:rPr>
      </w:pPr>
    </w:p>
    <w:p w14:paraId="666C7134" w14:textId="50749D3C" w:rsidR="00F96AC2" w:rsidRPr="006D75F3" w:rsidRDefault="00000000" w:rsidP="006D75F3">
      <w:pPr>
        <w:pStyle w:val="Untitledsubclause1"/>
        <w:spacing w:before="0" w:after="0" w:line="20" w:lineRule="atLeast"/>
        <w:rPr>
          <w:sz w:val="20"/>
        </w:rPr>
      </w:pPr>
      <w:bookmarkStart w:id="36" w:name="a601079"/>
      <w:r w:rsidRPr="006D75F3">
        <w:rPr>
          <w:sz w:val="20"/>
        </w:rPr>
        <w:t>The parties agree to only Process Shared Personal Data, as described in [</w:t>
      </w:r>
      <w:r w:rsidRPr="006D75F3">
        <w:rPr>
          <w:sz w:val="20"/>
          <w:highlight w:val="yellow"/>
        </w:rPr>
        <w:fldChar w:fldCharType="begin"/>
      </w:r>
      <w:r w:rsidRPr="006D75F3">
        <w:rPr>
          <w:sz w:val="20"/>
          <w:highlight w:val="yellow"/>
        </w:rPr>
        <w:instrText>PAGEREF a720125\# "'clause '"  \h</w:instrText>
      </w:r>
      <w:r w:rsidRPr="006D75F3">
        <w:rPr>
          <w:sz w:val="20"/>
          <w:highlight w:val="yellow"/>
        </w:rPr>
      </w:r>
      <w:r w:rsidRPr="006D75F3">
        <w:rPr>
          <w:sz w:val="20"/>
          <w:highlight w:val="yellow"/>
        </w:rPr>
        <w:fldChar w:fldCharType="separate"/>
      </w:r>
      <w:r w:rsidRPr="006D75F3">
        <w:rPr>
          <w:sz w:val="20"/>
          <w:highlight w:val="yellow"/>
        </w:rPr>
        <w:t xml:space="preserve">clause </w:t>
      </w:r>
      <w:r w:rsidRPr="006D75F3">
        <w:rPr>
          <w:sz w:val="20"/>
          <w:highlight w:val="yellow"/>
        </w:rPr>
        <w:fldChar w:fldCharType="end"/>
      </w:r>
      <w:r w:rsidRPr="006D75F3">
        <w:rPr>
          <w:sz w:val="20"/>
          <w:highlight w:val="yellow"/>
        </w:rPr>
        <w:fldChar w:fldCharType="begin"/>
      </w:r>
      <w:r w:rsidRPr="006D75F3">
        <w:rPr>
          <w:sz w:val="20"/>
          <w:highlight w:val="yellow"/>
        </w:rPr>
        <w:instrText>REF a720125 \h \w</w:instrText>
      </w:r>
      <w:r w:rsidR="00B8782F" w:rsidRPr="006D75F3">
        <w:rPr>
          <w:sz w:val="20"/>
          <w:highlight w:val="yellow"/>
        </w:rPr>
        <w:instrText xml:space="preserve"> \* MERGEFORMAT </w:instrText>
      </w:r>
      <w:r w:rsidRPr="006D75F3">
        <w:rPr>
          <w:sz w:val="20"/>
          <w:highlight w:val="yellow"/>
        </w:rPr>
      </w:r>
      <w:r w:rsidRPr="006D75F3">
        <w:rPr>
          <w:sz w:val="20"/>
          <w:highlight w:val="yellow"/>
        </w:rPr>
        <w:fldChar w:fldCharType="separate"/>
      </w:r>
      <w:r w:rsidRPr="006D75F3">
        <w:rPr>
          <w:sz w:val="20"/>
          <w:highlight w:val="yellow"/>
        </w:rPr>
        <w:t>4.1</w:t>
      </w:r>
      <w:r w:rsidRPr="006D75F3">
        <w:rPr>
          <w:sz w:val="20"/>
          <w:highlight w:val="yellow"/>
        </w:rPr>
        <w:fldChar w:fldCharType="end"/>
      </w:r>
      <w:r w:rsidRPr="006D75F3">
        <w:rPr>
          <w:sz w:val="20"/>
          <w:highlight w:val="yellow"/>
        </w:rPr>
        <w:t xml:space="preserve"> and </w:t>
      </w:r>
      <w:r w:rsidRPr="006D75F3">
        <w:rPr>
          <w:sz w:val="20"/>
          <w:highlight w:val="yellow"/>
        </w:rPr>
        <w:fldChar w:fldCharType="begin"/>
      </w:r>
      <w:r w:rsidRPr="006D75F3">
        <w:rPr>
          <w:sz w:val="20"/>
          <w:highlight w:val="yellow"/>
        </w:rPr>
        <w:instrText>PAGEREF a415186\# "'clause '"  \h</w:instrText>
      </w:r>
      <w:r w:rsidRPr="006D75F3">
        <w:rPr>
          <w:sz w:val="20"/>
          <w:highlight w:val="yellow"/>
        </w:rPr>
      </w:r>
      <w:r w:rsidRPr="006D75F3">
        <w:rPr>
          <w:sz w:val="20"/>
          <w:highlight w:val="yellow"/>
        </w:rPr>
        <w:fldChar w:fldCharType="separate"/>
      </w:r>
      <w:r w:rsidRPr="006D75F3">
        <w:rPr>
          <w:sz w:val="20"/>
          <w:highlight w:val="yellow"/>
        </w:rPr>
        <w:t xml:space="preserve">clause </w:t>
      </w:r>
      <w:r w:rsidRPr="006D75F3">
        <w:rPr>
          <w:sz w:val="20"/>
          <w:highlight w:val="yellow"/>
        </w:rPr>
        <w:fldChar w:fldCharType="end"/>
      </w:r>
      <w:r w:rsidRPr="006D75F3">
        <w:rPr>
          <w:sz w:val="20"/>
          <w:highlight w:val="yellow"/>
        </w:rPr>
        <w:fldChar w:fldCharType="begin"/>
      </w:r>
      <w:r w:rsidRPr="006D75F3">
        <w:rPr>
          <w:sz w:val="20"/>
          <w:highlight w:val="yellow"/>
        </w:rPr>
        <w:instrText>REF a415186 \h \w</w:instrText>
      </w:r>
      <w:r w:rsidR="00B8782F" w:rsidRPr="006D75F3">
        <w:rPr>
          <w:sz w:val="20"/>
          <w:highlight w:val="yellow"/>
        </w:rPr>
        <w:instrText xml:space="preserve"> \* MERGEFORMAT </w:instrText>
      </w:r>
      <w:r w:rsidRPr="006D75F3">
        <w:rPr>
          <w:sz w:val="20"/>
          <w:highlight w:val="yellow"/>
        </w:rPr>
      </w:r>
      <w:r w:rsidRPr="006D75F3">
        <w:rPr>
          <w:sz w:val="20"/>
          <w:highlight w:val="yellow"/>
        </w:rPr>
        <w:fldChar w:fldCharType="separate"/>
      </w:r>
      <w:r w:rsidRPr="006D75F3">
        <w:rPr>
          <w:sz w:val="20"/>
          <w:highlight w:val="yellow"/>
        </w:rPr>
        <w:t>4.2</w:t>
      </w:r>
      <w:r w:rsidRPr="006D75F3">
        <w:rPr>
          <w:sz w:val="20"/>
          <w:highlight w:val="yellow"/>
        </w:rPr>
        <w:fldChar w:fldCharType="end"/>
      </w:r>
      <w:r w:rsidRPr="006D75F3">
        <w:rPr>
          <w:sz w:val="20"/>
        </w:rPr>
        <w:t>] [</w:t>
      </w:r>
      <w:r w:rsidRPr="006D75F3">
        <w:rPr>
          <w:sz w:val="20"/>
          <w:highlight w:val="yellow"/>
        </w:rPr>
        <w:t xml:space="preserve">and set out in </w:t>
      </w:r>
      <w:r w:rsidR="006D75F3" w:rsidRPr="006D75F3">
        <w:rPr>
          <w:sz w:val="20"/>
          <w:highlight w:val="yellow"/>
        </w:rPr>
        <w:t>Schedule 1</w:t>
      </w:r>
      <w:r w:rsidRPr="006D75F3">
        <w:rPr>
          <w:sz w:val="20"/>
        </w:rPr>
        <w:t>] for the following purposes:</w:t>
      </w:r>
      <w:bookmarkEnd w:id="36"/>
    </w:p>
    <w:p w14:paraId="41BB9E4A" w14:textId="77777777" w:rsidR="00B8782F" w:rsidRPr="006D75F3" w:rsidRDefault="00B8782F" w:rsidP="006D75F3">
      <w:pPr>
        <w:pStyle w:val="Untitledsubclause1"/>
        <w:numPr>
          <w:ilvl w:val="0"/>
          <w:numId w:val="0"/>
        </w:numPr>
        <w:spacing w:before="0" w:after="0" w:line="20" w:lineRule="atLeast"/>
        <w:rPr>
          <w:sz w:val="20"/>
        </w:rPr>
      </w:pPr>
    </w:p>
    <w:p w14:paraId="693FB925" w14:textId="30096B89" w:rsidR="00F96AC2" w:rsidRPr="006D75F3" w:rsidRDefault="00000000" w:rsidP="006D75F3">
      <w:pPr>
        <w:pStyle w:val="Untitledsubclause2"/>
        <w:spacing w:after="0" w:line="20" w:lineRule="atLeast"/>
        <w:rPr>
          <w:sz w:val="20"/>
        </w:rPr>
      </w:pPr>
      <w:bookmarkStart w:id="37" w:name="a845301"/>
      <w:r w:rsidRPr="006D75F3">
        <w:rPr>
          <w:sz w:val="20"/>
        </w:rPr>
        <w:t>[</w:t>
      </w:r>
      <w:r w:rsidR="00E50B90">
        <w:rPr>
          <w:sz w:val="20"/>
        </w:rPr>
        <w:t>Students’ Union Elections</w:t>
      </w:r>
      <w:proofErr w:type="gramStart"/>
      <w:r w:rsidRPr="006D75F3">
        <w:rPr>
          <w:sz w:val="20"/>
        </w:rPr>
        <w:t>];</w:t>
      </w:r>
      <w:bookmarkEnd w:id="37"/>
      <w:proofErr w:type="gramEnd"/>
    </w:p>
    <w:p w14:paraId="4CAEB7CD" w14:textId="080F6C03" w:rsidR="00F96AC2" w:rsidRPr="006D75F3" w:rsidRDefault="00000000" w:rsidP="006D75F3">
      <w:pPr>
        <w:pStyle w:val="Untitledsubclause2"/>
        <w:spacing w:after="0" w:line="20" w:lineRule="atLeast"/>
        <w:rPr>
          <w:sz w:val="20"/>
        </w:rPr>
      </w:pPr>
      <w:bookmarkStart w:id="38" w:name="a598928"/>
      <w:r w:rsidRPr="006D75F3">
        <w:rPr>
          <w:sz w:val="20"/>
        </w:rPr>
        <w:t>[</w:t>
      </w:r>
      <w:r w:rsidR="00E50B90">
        <w:rPr>
          <w:sz w:val="20"/>
        </w:rPr>
        <w:t>Marketing and Communications where students have opted in</w:t>
      </w:r>
      <w:r w:rsidRPr="006D75F3">
        <w:rPr>
          <w:sz w:val="20"/>
        </w:rPr>
        <w:t>]; and</w:t>
      </w:r>
      <w:bookmarkEnd w:id="38"/>
    </w:p>
    <w:p w14:paraId="65CE1ADF" w14:textId="0108565B" w:rsidR="00F96AC2" w:rsidRDefault="00E50B90" w:rsidP="006D75F3">
      <w:pPr>
        <w:pStyle w:val="Untitledsubclause2"/>
        <w:spacing w:after="0" w:line="20" w:lineRule="atLeast"/>
        <w:rPr>
          <w:sz w:val="20"/>
        </w:rPr>
      </w:pPr>
      <w:bookmarkStart w:id="39" w:name="a709481"/>
      <w:r>
        <w:rPr>
          <w:sz w:val="20"/>
        </w:rPr>
        <w:t>[To enable students to provide feedback through the UNITU online feedback tool</w:t>
      </w:r>
      <w:r w:rsidRPr="006D75F3">
        <w:rPr>
          <w:sz w:val="20"/>
        </w:rPr>
        <w:t>].</w:t>
      </w:r>
      <w:bookmarkEnd w:id="39"/>
    </w:p>
    <w:p w14:paraId="6A1C8E1D" w14:textId="748DC925" w:rsidR="00E50B90" w:rsidRDefault="00E50B90" w:rsidP="006D75F3">
      <w:pPr>
        <w:pStyle w:val="Untitledsubclause2"/>
        <w:spacing w:after="0" w:line="20" w:lineRule="atLeast"/>
        <w:rPr>
          <w:sz w:val="20"/>
        </w:rPr>
      </w:pPr>
      <w:r>
        <w:rPr>
          <w:sz w:val="20"/>
        </w:rPr>
        <w:t>To enable students to join a sports team or society.</w:t>
      </w:r>
    </w:p>
    <w:p w14:paraId="5A1EF18C" w14:textId="18C829FC" w:rsidR="00E50B90" w:rsidRDefault="00E50B90" w:rsidP="006D75F3">
      <w:pPr>
        <w:pStyle w:val="Untitledsubclause2"/>
        <w:spacing w:after="0" w:line="20" w:lineRule="atLeast"/>
        <w:rPr>
          <w:sz w:val="20"/>
        </w:rPr>
      </w:pPr>
      <w:r>
        <w:rPr>
          <w:sz w:val="20"/>
        </w:rPr>
        <w:t xml:space="preserve">To enable students to receive impartial and confidential advice from the Advice Centre </w:t>
      </w:r>
    </w:p>
    <w:p w14:paraId="50EF5082" w14:textId="64BC0F8D" w:rsidR="00E50B90" w:rsidRPr="006D75F3" w:rsidRDefault="00E50B90" w:rsidP="006D75F3">
      <w:pPr>
        <w:pStyle w:val="Untitledsubclause2"/>
        <w:spacing w:after="0" w:line="20" w:lineRule="atLeast"/>
        <w:rPr>
          <w:sz w:val="20"/>
        </w:rPr>
      </w:pPr>
      <w:r>
        <w:rPr>
          <w:sz w:val="20"/>
        </w:rPr>
        <w:t>To gather and record course rep information.</w:t>
      </w:r>
    </w:p>
    <w:p w14:paraId="41056A08" w14:textId="77777777" w:rsidR="00B8782F" w:rsidRPr="006D75F3" w:rsidRDefault="00B8782F" w:rsidP="006D75F3">
      <w:pPr>
        <w:pStyle w:val="Untitledsubclause2"/>
        <w:numPr>
          <w:ilvl w:val="0"/>
          <w:numId w:val="0"/>
        </w:numPr>
        <w:spacing w:after="0" w:line="20" w:lineRule="atLeast"/>
        <w:ind w:left="1555"/>
        <w:rPr>
          <w:sz w:val="20"/>
        </w:rPr>
      </w:pPr>
    </w:p>
    <w:p w14:paraId="2EE9D054" w14:textId="77777777" w:rsidR="00F96AC2" w:rsidRPr="006D75F3" w:rsidRDefault="00000000" w:rsidP="006D75F3">
      <w:pPr>
        <w:pStyle w:val="Parasubclause1"/>
        <w:spacing w:before="0" w:after="0" w:line="20" w:lineRule="atLeast"/>
        <w:rPr>
          <w:sz w:val="20"/>
        </w:rPr>
      </w:pPr>
      <w:r w:rsidRPr="006D75F3">
        <w:rPr>
          <w:sz w:val="20"/>
        </w:rPr>
        <w:t>The parties shall not Process Shared Personal Data [including for the purposes of solely automated decision making producing legal effects or similarly significant effects, or otherwise] in a way that is incompatible with the purposes described in this clause (</w:t>
      </w:r>
      <w:r w:rsidRPr="006D75F3">
        <w:rPr>
          <w:rStyle w:val="DefTerm"/>
          <w:rFonts w:eastAsiaTheme="majorEastAsia"/>
          <w:sz w:val="20"/>
        </w:rPr>
        <w:t>Agreed Purpose</w:t>
      </w:r>
      <w:r w:rsidRPr="006D75F3">
        <w:rPr>
          <w:sz w:val="20"/>
        </w:rPr>
        <w:t>).</w:t>
      </w:r>
    </w:p>
    <w:p w14:paraId="24F050A8" w14:textId="77777777" w:rsidR="00B8782F" w:rsidRPr="006D75F3" w:rsidRDefault="00B8782F" w:rsidP="006D75F3">
      <w:pPr>
        <w:pStyle w:val="Parasubclause1"/>
        <w:spacing w:before="0" w:after="0" w:line="20" w:lineRule="atLeast"/>
        <w:ind w:left="0"/>
        <w:rPr>
          <w:sz w:val="20"/>
        </w:rPr>
      </w:pPr>
    </w:p>
    <w:p w14:paraId="5AE9EEE5" w14:textId="77777777" w:rsidR="00F96AC2" w:rsidRPr="006D75F3" w:rsidRDefault="00000000" w:rsidP="006D75F3">
      <w:pPr>
        <w:pStyle w:val="Untitledsubclause1"/>
        <w:spacing w:before="0" w:after="0" w:line="20" w:lineRule="atLeast"/>
        <w:rPr>
          <w:sz w:val="20"/>
        </w:rPr>
      </w:pPr>
      <w:bookmarkStart w:id="40" w:name="a832968"/>
      <w:r w:rsidRPr="006D75F3">
        <w:rPr>
          <w:sz w:val="20"/>
        </w:rPr>
        <w:t>Each party shall appoint a single point of contact (</w:t>
      </w:r>
      <w:proofErr w:type="spellStart"/>
      <w:r w:rsidRPr="006D75F3">
        <w:rPr>
          <w:rStyle w:val="DefTerm"/>
          <w:sz w:val="20"/>
        </w:rPr>
        <w:t>SPoC</w:t>
      </w:r>
      <w:proofErr w:type="spellEnd"/>
      <w:r w:rsidRPr="006D75F3">
        <w:rPr>
          <w:sz w:val="20"/>
        </w:rPr>
        <w:t>) who will work together to reach an agreement with regards to any issues arising from the data sharing and to improve actively the effectiveness of the data sharing initiative. The points of contact for each of the parties are:</w:t>
      </w:r>
      <w:bookmarkEnd w:id="40"/>
    </w:p>
    <w:p w14:paraId="3787875C" w14:textId="77777777" w:rsidR="00B8782F" w:rsidRPr="006D75F3" w:rsidRDefault="00B8782F" w:rsidP="006D75F3">
      <w:pPr>
        <w:pStyle w:val="Untitledsubclause1"/>
        <w:numPr>
          <w:ilvl w:val="0"/>
          <w:numId w:val="0"/>
        </w:numPr>
        <w:spacing w:before="0" w:after="0" w:line="20" w:lineRule="atLeast"/>
        <w:ind w:left="720"/>
        <w:rPr>
          <w:sz w:val="20"/>
        </w:rPr>
      </w:pPr>
    </w:p>
    <w:p w14:paraId="5B7EB2DD" w14:textId="69EA27E5" w:rsidR="00F96AC2" w:rsidRPr="006D75F3" w:rsidRDefault="00B8782F" w:rsidP="006D75F3">
      <w:pPr>
        <w:pStyle w:val="Untitledsubclause2"/>
        <w:spacing w:after="0" w:line="20" w:lineRule="atLeast"/>
        <w:rPr>
          <w:sz w:val="20"/>
        </w:rPr>
      </w:pPr>
      <w:bookmarkStart w:id="41" w:name="a643446"/>
      <w:r w:rsidRPr="006D75F3">
        <w:rPr>
          <w:b/>
          <w:bCs/>
          <w:sz w:val="20"/>
        </w:rPr>
        <w:t>Data Discloser</w:t>
      </w:r>
      <w:r w:rsidRPr="006D75F3">
        <w:rPr>
          <w:sz w:val="20"/>
        </w:rPr>
        <w:t>:</w:t>
      </w:r>
      <w:r w:rsidR="0025158B">
        <w:rPr>
          <w:sz w:val="20"/>
        </w:rPr>
        <w:t xml:space="preserve"> Data Protection Officer, Wrexham University, Plas Coch, Mold Road, Wrexham, LL11 2AW (email: </w:t>
      </w:r>
      <w:hyperlink r:id="rId11" w:history="1">
        <w:r w:rsidR="0025158B" w:rsidRPr="00B6096B">
          <w:rPr>
            <w:rStyle w:val="Hyperlink"/>
            <w:sz w:val="20"/>
          </w:rPr>
          <w:t>dpo@wrexham.ac.uk</w:t>
        </w:r>
      </w:hyperlink>
      <w:r w:rsidR="0025158B">
        <w:rPr>
          <w:sz w:val="20"/>
        </w:rPr>
        <w:t>)</w:t>
      </w:r>
      <w:r w:rsidRPr="006D75F3">
        <w:rPr>
          <w:sz w:val="20"/>
        </w:rPr>
        <w:t>; and</w:t>
      </w:r>
      <w:bookmarkEnd w:id="41"/>
    </w:p>
    <w:p w14:paraId="2961E5F6" w14:textId="77777777" w:rsidR="00B8782F" w:rsidRPr="006D75F3" w:rsidRDefault="00B8782F" w:rsidP="006D75F3">
      <w:pPr>
        <w:pStyle w:val="Untitledsubclause2"/>
        <w:numPr>
          <w:ilvl w:val="0"/>
          <w:numId w:val="0"/>
        </w:numPr>
        <w:spacing w:after="0" w:line="20" w:lineRule="atLeast"/>
        <w:ind w:left="1555"/>
        <w:rPr>
          <w:sz w:val="20"/>
        </w:rPr>
      </w:pPr>
    </w:p>
    <w:p w14:paraId="26A0A2CD" w14:textId="441FFAA3" w:rsidR="00F96AC2" w:rsidRPr="006D75F3" w:rsidRDefault="00B8782F" w:rsidP="006D75F3">
      <w:pPr>
        <w:pStyle w:val="Untitledsubclause2"/>
        <w:spacing w:after="0" w:line="20" w:lineRule="atLeast"/>
        <w:rPr>
          <w:sz w:val="20"/>
        </w:rPr>
      </w:pPr>
      <w:bookmarkStart w:id="42" w:name="a897356"/>
      <w:r w:rsidRPr="006D75F3">
        <w:rPr>
          <w:b/>
          <w:bCs/>
          <w:sz w:val="20"/>
        </w:rPr>
        <w:t>Data Receiver</w:t>
      </w:r>
      <w:r w:rsidRPr="006D75F3">
        <w:rPr>
          <w:sz w:val="20"/>
        </w:rPr>
        <w:t xml:space="preserve">: </w:t>
      </w:r>
      <w:bookmarkEnd w:id="42"/>
      <w:r w:rsidR="00E64F29">
        <w:rPr>
          <w:sz w:val="20"/>
        </w:rPr>
        <w:t>Marc Caldecott, Interim Union Manager, Students’ Union, Wrexham University, Mold Road, LL11 2AW (email: Marc.Caldecott@Wrexham.ac.uk)</w:t>
      </w:r>
    </w:p>
    <w:p w14:paraId="597AC6EA" w14:textId="77777777" w:rsidR="00B8782F" w:rsidRPr="006D75F3" w:rsidRDefault="00B8782F" w:rsidP="006D75F3">
      <w:pPr>
        <w:pStyle w:val="Untitledsubclause2"/>
        <w:numPr>
          <w:ilvl w:val="0"/>
          <w:numId w:val="0"/>
        </w:numPr>
        <w:spacing w:after="0" w:line="20" w:lineRule="atLeast"/>
        <w:ind w:left="1555"/>
        <w:rPr>
          <w:sz w:val="20"/>
        </w:rPr>
      </w:pPr>
    </w:p>
    <w:p w14:paraId="7B925621" w14:textId="705C697D" w:rsidR="00F96AC2" w:rsidRPr="00D959F2" w:rsidRDefault="00000000" w:rsidP="006D75F3">
      <w:pPr>
        <w:pStyle w:val="TitleClause"/>
        <w:spacing w:before="0" w:after="0" w:line="20" w:lineRule="atLeast"/>
        <w:rPr>
          <w:sz w:val="20"/>
        </w:rPr>
      </w:pPr>
      <w:r w:rsidRPr="00D959F2">
        <w:rPr>
          <w:sz w:val="20"/>
        </w:rPr>
        <w:fldChar w:fldCharType="begin"/>
      </w:r>
      <w:r w:rsidRPr="00D959F2">
        <w:rPr>
          <w:sz w:val="20"/>
        </w:rPr>
        <w:instrText>TC "3. Compliance with national data protection laws" \l 1</w:instrText>
      </w:r>
      <w:r w:rsidRPr="00D959F2">
        <w:rPr>
          <w:sz w:val="20"/>
        </w:rPr>
        <w:fldChar w:fldCharType="end"/>
      </w:r>
      <w:bookmarkStart w:id="43" w:name="_Toc256000002"/>
      <w:bookmarkStart w:id="44" w:name="a801110"/>
      <w:r w:rsidR="00B8782F" w:rsidRPr="00D959F2">
        <w:rPr>
          <w:sz w:val="20"/>
        </w:rPr>
        <w:t>COMPLIANCE WITH NATIONAL DATA PROTECTION LAWS</w:t>
      </w:r>
      <w:bookmarkEnd w:id="43"/>
      <w:r w:rsidRPr="00D959F2">
        <w:rPr>
          <w:sz w:val="20"/>
        </w:rPr>
        <w:fldChar w:fldCharType="begin"/>
      </w:r>
      <w:r w:rsidRPr="00D959F2">
        <w:rPr>
          <w:sz w:val="20"/>
        </w:rPr>
        <w:instrText xml:space="preserve"> MACROBUTTON optional </w:instrText>
      </w:r>
      <w:r w:rsidRPr="00D959F2">
        <w:rPr>
          <w:sz w:val="20"/>
        </w:rPr>
        <w:fldChar w:fldCharType="end"/>
      </w:r>
      <w:bookmarkEnd w:id="44"/>
    </w:p>
    <w:p w14:paraId="3A013631" w14:textId="77777777" w:rsidR="00B8782F" w:rsidRPr="00D959F2" w:rsidRDefault="00B8782F" w:rsidP="006D75F3">
      <w:pPr>
        <w:pStyle w:val="TitleClause"/>
        <w:numPr>
          <w:ilvl w:val="0"/>
          <w:numId w:val="0"/>
        </w:numPr>
        <w:spacing w:before="0" w:after="0" w:line="20" w:lineRule="atLeast"/>
        <w:ind w:left="720"/>
        <w:rPr>
          <w:sz w:val="20"/>
        </w:rPr>
      </w:pPr>
    </w:p>
    <w:p w14:paraId="14100CF6" w14:textId="16E10EFB" w:rsidR="00B8782F" w:rsidRDefault="00D959F2" w:rsidP="00D959F2">
      <w:pPr>
        <w:pStyle w:val="Parasubclause1"/>
        <w:spacing w:before="0" w:after="0" w:line="20" w:lineRule="atLeast"/>
        <w:rPr>
          <w:sz w:val="20"/>
        </w:rPr>
      </w:pPr>
      <w:r w:rsidRPr="00D959F2">
        <w:rPr>
          <w:sz w:val="20"/>
        </w:rPr>
        <w:t>[NOT USED].</w:t>
      </w:r>
    </w:p>
    <w:p w14:paraId="05823CA0" w14:textId="77777777" w:rsidR="00D959F2" w:rsidRPr="006D75F3" w:rsidRDefault="00D959F2" w:rsidP="00D959F2">
      <w:pPr>
        <w:pStyle w:val="Parasubclause1"/>
        <w:spacing w:before="0" w:after="0" w:line="20" w:lineRule="atLeast"/>
        <w:rPr>
          <w:sz w:val="20"/>
        </w:rPr>
      </w:pPr>
    </w:p>
    <w:p w14:paraId="6B0C548A" w14:textId="4DB9110C"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"4. Shared Personal Data" \l 1</w:instrText>
      </w:r>
      <w:r w:rsidRPr="006D75F3">
        <w:rPr>
          <w:sz w:val="20"/>
        </w:rPr>
        <w:fldChar w:fldCharType="end"/>
      </w:r>
      <w:bookmarkStart w:id="45" w:name="_Toc256000003"/>
      <w:bookmarkStart w:id="46" w:name="a164129"/>
      <w:r w:rsidR="00B8782F" w:rsidRPr="006D75F3">
        <w:rPr>
          <w:sz w:val="20"/>
        </w:rPr>
        <w:t>SHARED PERSONAL DATA</w:t>
      </w:r>
      <w:bookmarkEnd w:id="45"/>
      <w:bookmarkEnd w:id="46"/>
    </w:p>
    <w:p w14:paraId="690BF4B7" w14:textId="77777777" w:rsidR="00B8782F" w:rsidRPr="006D75F3" w:rsidRDefault="00B8782F" w:rsidP="006D75F3">
      <w:pPr>
        <w:pStyle w:val="TitleClause"/>
        <w:numPr>
          <w:ilvl w:val="0"/>
          <w:numId w:val="0"/>
        </w:numPr>
        <w:spacing w:before="0" w:after="0" w:line="20" w:lineRule="atLeast"/>
        <w:ind w:left="720"/>
        <w:rPr>
          <w:sz w:val="20"/>
        </w:rPr>
      </w:pPr>
    </w:p>
    <w:p w14:paraId="53142F0A" w14:textId="77777777" w:rsidR="00F96AC2" w:rsidRPr="006D75F3" w:rsidRDefault="00000000" w:rsidP="006D75F3">
      <w:pPr>
        <w:pStyle w:val="Untitledsubclause1"/>
        <w:spacing w:before="0" w:after="0" w:line="20" w:lineRule="atLeast"/>
        <w:rPr>
          <w:sz w:val="20"/>
        </w:rPr>
      </w:pPr>
      <w:bookmarkStart w:id="47" w:name="a720125"/>
      <w:r w:rsidRPr="006D75F3">
        <w:rPr>
          <w:sz w:val="20"/>
        </w:rPr>
        <w:t>The following types of Personal Data will be shared between the parties during the Term of this Agreement:</w:t>
      </w:r>
      <w:bookmarkEnd w:id="47"/>
    </w:p>
    <w:p w14:paraId="7108F2AA" w14:textId="77777777" w:rsidR="00B8782F" w:rsidRPr="006D75F3" w:rsidRDefault="00B8782F" w:rsidP="006D75F3">
      <w:pPr>
        <w:pStyle w:val="Untitledsubclause1"/>
        <w:numPr>
          <w:ilvl w:val="0"/>
          <w:numId w:val="0"/>
        </w:numPr>
        <w:spacing w:before="0" w:after="0" w:line="20" w:lineRule="atLeast"/>
        <w:ind w:left="720"/>
        <w:rPr>
          <w:sz w:val="20"/>
        </w:rPr>
      </w:pPr>
    </w:p>
    <w:p w14:paraId="525538AE" w14:textId="58167410" w:rsidR="00B8782F" w:rsidRPr="005359C6" w:rsidRDefault="005359C6" w:rsidP="005359C6">
      <w:pPr>
        <w:pStyle w:val="Untitledsubclause2"/>
        <w:spacing w:after="0" w:line="20" w:lineRule="atLeast"/>
        <w:rPr>
          <w:sz w:val="20"/>
        </w:rPr>
      </w:pPr>
      <w:r>
        <w:rPr>
          <w:sz w:val="20"/>
        </w:rPr>
        <w:t xml:space="preserve">Student ID number </w:t>
      </w:r>
    </w:p>
    <w:p w14:paraId="4F344AC7" w14:textId="58DBBDC3" w:rsidR="00B8782F" w:rsidRPr="005359C6" w:rsidRDefault="005359C6" w:rsidP="005359C6">
      <w:pPr>
        <w:pStyle w:val="Untitledsubclause2"/>
        <w:spacing w:after="0" w:line="20" w:lineRule="atLeast"/>
        <w:rPr>
          <w:sz w:val="20"/>
        </w:rPr>
      </w:pPr>
      <w:r>
        <w:rPr>
          <w:sz w:val="20"/>
        </w:rPr>
        <w:t>Forename</w:t>
      </w:r>
    </w:p>
    <w:p w14:paraId="069CCF10" w14:textId="0C32ECBC" w:rsidR="005359C6" w:rsidRPr="005359C6" w:rsidRDefault="005359C6" w:rsidP="005359C6">
      <w:pPr>
        <w:pStyle w:val="Untitledsubclause2"/>
        <w:spacing w:after="0" w:line="20" w:lineRule="atLeast"/>
        <w:rPr>
          <w:sz w:val="20"/>
        </w:rPr>
      </w:pPr>
      <w:r>
        <w:rPr>
          <w:sz w:val="20"/>
        </w:rPr>
        <w:t>Middle name</w:t>
      </w:r>
    </w:p>
    <w:p w14:paraId="389F56D5" w14:textId="254B134C" w:rsidR="005359C6" w:rsidRPr="005359C6" w:rsidRDefault="005359C6" w:rsidP="005359C6">
      <w:pPr>
        <w:pStyle w:val="Untitledsubclause2"/>
        <w:spacing w:after="0" w:line="20" w:lineRule="atLeast"/>
        <w:rPr>
          <w:sz w:val="20"/>
        </w:rPr>
      </w:pPr>
      <w:r>
        <w:rPr>
          <w:sz w:val="20"/>
        </w:rPr>
        <w:t>Surname</w:t>
      </w:r>
    </w:p>
    <w:p w14:paraId="151F2704" w14:textId="2C68FA1F" w:rsidR="005359C6" w:rsidRPr="005359C6" w:rsidRDefault="005359C6" w:rsidP="005359C6">
      <w:pPr>
        <w:pStyle w:val="Untitledsubclause2"/>
        <w:spacing w:after="0" w:line="20" w:lineRule="atLeast"/>
        <w:rPr>
          <w:sz w:val="20"/>
        </w:rPr>
      </w:pPr>
      <w:r>
        <w:rPr>
          <w:sz w:val="20"/>
        </w:rPr>
        <w:t>University email address</w:t>
      </w:r>
    </w:p>
    <w:p w14:paraId="07CE4E60" w14:textId="01897DE1" w:rsidR="005359C6" w:rsidRPr="005359C6" w:rsidRDefault="005359C6" w:rsidP="005359C6">
      <w:pPr>
        <w:pStyle w:val="Untitledsubclause2"/>
        <w:spacing w:after="0" w:line="20" w:lineRule="atLeast"/>
        <w:rPr>
          <w:sz w:val="20"/>
        </w:rPr>
      </w:pPr>
      <w:r>
        <w:rPr>
          <w:sz w:val="20"/>
        </w:rPr>
        <w:t xml:space="preserve">Programme of student </w:t>
      </w:r>
    </w:p>
    <w:p w14:paraId="7A32D4EB" w14:textId="301DED16" w:rsidR="005359C6" w:rsidRPr="005359C6" w:rsidRDefault="005359C6" w:rsidP="005359C6">
      <w:pPr>
        <w:pStyle w:val="Untitledsubclause2"/>
        <w:spacing w:after="0" w:line="20" w:lineRule="atLeast"/>
        <w:rPr>
          <w:sz w:val="20"/>
        </w:rPr>
      </w:pPr>
      <w:r>
        <w:rPr>
          <w:sz w:val="20"/>
        </w:rPr>
        <w:t xml:space="preserve">Mode of study </w:t>
      </w:r>
    </w:p>
    <w:p w14:paraId="58BEF221" w14:textId="78A55E3C" w:rsidR="005359C6" w:rsidRPr="005359C6" w:rsidRDefault="005359C6" w:rsidP="005359C6">
      <w:pPr>
        <w:pStyle w:val="Untitledsubclause2"/>
        <w:spacing w:after="0" w:line="20" w:lineRule="atLeast"/>
        <w:rPr>
          <w:sz w:val="20"/>
        </w:rPr>
      </w:pPr>
      <w:r>
        <w:rPr>
          <w:sz w:val="20"/>
        </w:rPr>
        <w:t xml:space="preserve">Location of Study </w:t>
      </w:r>
    </w:p>
    <w:p w14:paraId="2E9A8E75" w14:textId="35437745" w:rsidR="005359C6" w:rsidRPr="005359C6" w:rsidRDefault="005359C6" w:rsidP="005359C6">
      <w:pPr>
        <w:pStyle w:val="Untitledsubclause2"/>
        <w:spacing w:after="0" w:line="20" w:lineRule="atLeast"/>
        <w:rPr>
          <w:sz w:val="20"/>
        </w:rPr>
      </w:pPr>
      <w:r>
        <w:rPr>
          <w:sz w:val="20"/>
        </w:rPr>
        <w:t xml:space="preserve">Year of study </w:t>
      </w:r>
    </w:p>
    <w:p w14:paraId="7C3CAF2C" w14:textId="719E0464" w:rsidR="005359C6" w:rsidRPr="005359C6" w:rsidRDefault="005359C6" w:rsidP="005359C6">
      <w:pPr>
        <w:pStyle w:val="Untitledsubclause2"/>
        <w:spacing w:after="0" w:line="20" w:lineRule="atLeast"/>
        <w:rPr>
          <w:sz w:val="20"/>
        </w:rPr>
      </w:pPr>
      <w:r>
        <w:rPr>
          <w:sz w:val="20"/>
        </w:rPr>
        <w:t>Faculty</w:t>
      </w:r>
    </w:p>
    <w:p w14:paraId="11B5885A" w14:textId="48C0EB54" w:rsidR="005359C6" w:rsidRDefault="005359C6" w:rsidP="005359C6">
      <w:pPr>
        <w:pStyle w:val="Untitledsubclause2"/>
        <w:spacing w:after="0" w:line="20" w:lineRule="atLeast"/>
        <w:rPr>
          <w:sz w:val="20"/>
        </w:rPr>
      </w:pPr>
      <w:r>
        <w:rPr>
          <w:sz w:val="20"/>
        </w:rPr>
        <w:t>Gender</w:t>
      </w:r>
    </w:p>
    <w:p w14:paraId="744333F6" w14:textId="3CAF20BB" w:rsidR="005359C6" w:rsidRPr="0018528C" w:rsidRDefault="005359C6" w:rsidP="005359C6">
      <w:pPr>
        <w:pStyle w:val="Untitledsubclause2"/>
        <w:spacing w:after="0" w:line="20" w:lineRule="atLeast"/>
        <w:rPr>
          <w:sz w:val="20"/>
        </w:rPr>
      </w:pPr>
      <w:r w:rsidRPr="0018528C">
        <w:rPr>
          <w:sz w:val="20"/>
        </w:rPr>
        <w:t>Ethnicity</w:t>
      </w:r>
    </w:p>
    <w:p w14:paraId="074CBD15" w14:textId="77777777" w:rsidR="00B8782F" w:rsidRPr="0018528C" w:rsidRDefault="00B8782F" w:rsidP="006D75F3">
      <w:pPr>
        <w:pStyle w:val="Untitledsubclause2"/>
        <w:numPr>
          <w:ilvl w:val="0"/>
          <w:numId w:val="0"/>
        </w:numPr>
        <w:spacing w:after="0" w:line="20" w:lineRule="atLeast"/>
        <w:rPr>
          <w:sz w:val="20"/>
        </w:rPr>
      </w:pPr>
    </w:p>
    <w:p w14:paraId="79794CDF" w14:textId="77777777" w:rsidR="00F96AC2" w:rsidRPr="0018528C" w:rsidRDefault="00000000" w:rsidP="006D75F3">
      <w:pPr>
        <w:pStyle w:val="Untitledsubclause1"/>
        <w:spacing w:before="0" w:after="0" w:line="20" w:lineRule="atLeast"/>
        <w:rPr>
          <w:sz w:val="20"/>
        </w:rPr>
      </w:pPr>
      <w:bookmarkStart w:id="48" w:name="a415186"/>
      <w:r w:rsidRPr="0018528C">
        <w:rPr>
          <w:sz w:val="20"/>
        </w:rPr>
        <w:t xml:space="preserve">[Special Categories of Personal Data will not be shared between the parties </w:t>
      </w:r>
      <w:r w:rsidRPr="0018528C">
        <w:rPr>
          <w:b/>
          <w:sz w:val="20"/>
        </w:rPr>
        <w:t>OR</w:t>
      </w:r>
      <w:r w:rsidRPr="0018528C">
        <w:rPr>
          <w:sz w:val="20"/>
        </w:rPr>
        <w:t xml:space="preserve"> </w:t>
      </w:r>
      <w:proofErr w:type="gramStart"/>
      <w:r w:rsidRPr="0018528C">
        <w:rPr>
          <w:sz w:val="20"/>
        </w:rPr>
        <w:t>The</w:t>
      </w:r>
      <w:proofErr w:type="gramEnd"/>
      <w:r w:rsidRPr="0018528C">
        <w:rPr>
          <w:sz w:val="20"/>
        </w:rPr>
        <w:t xml:space="preserve"> following types of Special Categories of Personal Data will be shared between the parties during the Term of this Agreement [DELETE AS APPROPRIATE]:</w:t>
      </w:r>
      <w:bookmarkEnd w:id="48"/>
    </w:p>
    <w:p w14:paraId="08CBCF59" w14:textId="77777777" w:rsidR="00B8782F" w:rsidRPr="0018528C" w:rsidRDefault="00B8782F" w:rsidP="006D75F3">
      <w:pPr>
        <w:pStyle w:val="Untitledsubclause1"/>
        <w:numPr>
          <w:ilvl w:val="0"/>
          <w:numId w:val="0"/>
        </w:numPr>
        <w:spacing w:before="0" w:after="0" w:line="20" w:lineRule="atLeast"/>
        <w:ind w:left="720"/>
        <w:rPr>
          <w:sz w:val="20"/>
        </w:rPr>
      </w:pPr>
    </w:p>
    <w:p w14:paraId="3D870E1C" w14:textId="7880CBB7" w:rsidR="00F96AC2" w:rsidRPr="0018528C" w:rsidRDefault="00000000" w:rsidP="00362A4B">
      <w:pPr>
        <w:pStyle w:val="Untitledsubclause2"/>
        <w:numPr>
          <w:ilvl w:val="0"/>
          <w:numId w:val="0"/>
        </w:numPr>
        <w:spacing w:after="0" w:line="20" w:lineRule="atLeast"/>
        <w:ind w:left="1555"/>
        <w:rPr>
          <w:sz w:val="20"/>
        </w:rPr>
      </w:pPr>
      <w:r w:rsidRPr="0018528C">
        <w:rPr>
          <w:sz w:val="20"/>
        </w:rPr>
        <w:fldChar w:fldCharType="begin"/>
      </w:r>
      <w:r w:rsidRPr="0018528C">
        <w:rPr>
          <w:sz w:val="20"/>
        </w:rPr>
        <w:fldChar w:fldCharType="end"/>
      </w:r>
    </w:p>
    <w:p w14:paraId="01350ED5" w14:textId="77777777" w:rsidR="00F96AC2" w:rsidRPr="0018528C" w:rsidRDefault="00000000" w:rsidP="006D75F3">
      <w:pPr>
        <w:pStyle w:val="Untitledsubclause2"/>
        <w:spacing w:after="0" w:line="20" w:lineRule="atLeast"/>
        <w:rPr>
          <w:sz w:val="20"/>
        </w:rPr>
      </w:pPr>
      <w:r w:rsidRPr="0018528C">
        <w:rPr>
          <w:sz w:val="20"/>
        </w:rPr>
        <w:fldChar w:fldCharType="begin"/>
      </w:r>
      <w:r w:rsidRPr="0018528C">
        <w:rPr>
          <w:sz w:val="20"/>
        </w:rPr>
        <w:fldChar w:fldCharType="end"/>
      </w:r>
      <w:bookmarkStart w:id="49" w:name="a870420"/>
      <w:r w:rsidRPr="0018528C">
        <w:rPr>
          <w:sz w:val="20"/>
        </w:rPr>
        <w:t>[Political opinions;]</w:t>
      </w:r>
      <w:bookmarkEnd w:id="49"/>
    </w:p>
    <w:p w14:paraId="6B86BFDE" w14:textId="77777777" w:rsidR="00F96AC2" w:rsidRPr="0018528C" w:rsidRDefault="00000000" w:rsidP="006D75F3">
      <w:pPr>
        <w:pStyle w:val="Untitledsubclause2"/>
        <w:spacing w:after="0" w:line="20" w:lineRule="atLeast"/>
        <w:rPr>
          <w:sz w:val="20"/>
        </w:rPr>
      </w:pPr>
      <w:r w:rsidRPr="0018528C">
        <w:rPr>
          <w:sz w:val="20"/>
        </w:rPr>
        <w:fldChar w:fldCharType="begin"/>
      </w:r>
      <w:r w:rsidRPr="0018528C">
        <w:rPr>
          <w:sz w:val="20"/>
        </w:rPr>
        <w:fldChar w:fldCharType="end"/>
      </w:r>
      <w:bookmarkStart w:id="50" w:name="a443377"/>
      <w:r w:rsidRPr="0018528C">
        <w:rPr>
          <w:sz w:val="20"/>
        </w:rPr>
        <w:t>[Religious or philosophical beliefs;]</w:t>
      </w:r>
      <w:bookmarkEnd w:id="50"/>
    </w:p>
    <w:p w14:paraId="2B7B9439" w14:textId="77777777" w:rsidR="00F96AC2" w:rsidRPr="0018528C" w:rsidRDefault="00000000" w:rsidP="006D75F3">
      <w:pPr>
        <w:pStyle w:val="Untitledsubclause2"/>
        <w:spacing w:after="0" w:line="20" w:lineRule="atLeast"/>
        <w:rPr>
          <w:sz w:val="20"/>
        </w:rPr>
      </w:pPr>
      <w:r w:rsidRPr="0018528C">
        <w:rPr>
          <w:sz w:val="20"/>
        </w:rPr>
        <w:fldChar w:fldCharType="begin"/>
      </w:r>
      <w:r w:rsidRPr="0018528C">
        <w:rPr>
          <w:sz w:val="20"/>
        </w:rPr>
        <w:fldChar w:fldCharType="end"/>
      </w:r>
      <w:bookmarkStart w:id="51" w:name="a818154"/>
      <w:r w:rsidRPr="0018528C">
        <w:rPr>
          <w:sz w:val="20"/>
        </w:rPr>
        <w:t>[Trade-union membership;]</w:t>
      </w:r>
      <w:bookmarkEnd w:id="51"/>
    </w:p>
    <w:p w14:paraId="3EF2155D" w14:textId="77777777" w:rsidR="00F96AC2" w:rsidRPr="0018528C" w:rsidRDefault="00000000" w:rsidP="006D75F3">
      <w:pPr>
        <w:pStyle w:val="Untitledsubclause2"/>
        <w:spacing w:after="0" w:line="20" w:lineRule="atLeast"/>
        <w:rPr>
          <w:sz w:val="20"/>
        </w:rPr>
      </w:pPr>
      <w:r w:rsidRPr="0018528C">
        <w:rPr>
          <w:sz w:val="20"/>
        </w:rPr>
        <w:fldChar w:fldCharType="begin"/>
      </w:r>
      <w:r w:rsidRPr="0018528C">
        <w:rPr>
          <w:sz w:val="20"/>
        </w:rPr>
        <w:fldChar w:fldCharType="end"/>
      </w:r>
      <w:bookmarkStart w:id="52" w:name="a827988"/>
      <w:r w:rsidRPr="0018528C">
        <w:rPr>
          <w:sz w:val="20"/>
        </w:rPr>
        <w:t>[Genetic or biometric data used to uniquely identify a natural person;]</w:t>
      </w:r>
      <w:bookmarkEnd w:id="52"/>
    </w:p>
    <w:p w14:paraId="633C0F62" w14:textId="77777777" w:rsidR="00B8782F" w:rsidRPr="006D75F3" w:rsidRDefault="00B8782F" w:rsidP="006D75F3">
      <w:pPr>
        <w:pStyle w:val="Untitledsubclause2"/>
        <w:numPr>
          <w:ilvl w:val="0"/>
          <w:numId w:val="0"/>
        </w:numPr>
        <w:spacing w:after="0" w:line="20" w:lineRule="atLeast"/>
        <w:ind w:left="1555"/>
        <w:rPr>
          <w:sz w:val="20"/>
        </w:rPr>
      </w:pPr>
    </w:p>
    <w:p w14:paraId="3FEFDAC9" w14:textId="6E3B41B1" w:rsidR="00F96AC2" w:rsidRPr="00D959F2" w:rsidRDefault="00000000" w:rsidP="006D75F3">
      <w:pPr>
        <w:pStyle w:val="Untitledsubclause1"/>
        <w:spacing w:before="0" w:after="0" w:line="20" w:lineRule="atLeast"/>
        <w:rPr>
          <w:sz w:val="20"/>
        </w:rPr>
      </w:pPr>
      <w:bookmarkStart w:id="53" w:name="a535883"/>
      <w:r w:rsidRPr="00D959F2">
        <w:rPr>
          <w:sz w:val="20"/>
        </w:rPr>
        <w:t>Criminal Offence Data will not be shared between the parties</w:t>
      </w:r>
      <w:bookmarkEnd w:id="53"/>
      <w:r w:rsidR="00D959F2" w:rsidRPr="00D959F2">
        <w:rPr>
          <w:sz w:val="20"/>
        </w:rPr>
        <w:t>.</w:t>
      </w:r>
    </w:p>
    <w:p w14:paraId="7D7B6389" w14:textId="77777777" w:rsidR="00B8782F" w:rsidRPr="006D75F3" w:rsidRDefault="00B8782F" w:rsidP="006D75F3">
      <w:pPr>
        <w:pStyle w:val="Untitledsubclause1"/>
        <w:numPr>
          <w:ilvl w:val="0"/>
          <w:numId w:val="0"/>
        </w:numPr>
        <w:spacing w:before="0" w:after="0" w:line="20" w:lineRule="atLeast"/>
        <w:ind w:left="720"/>
        <w:rPr>
          <w:sz w:val="20"/>
        </w:rPr>
      </w:pPr>
    </w:p>
    <w:p w14:paraId="6FA9326C" w14:textId="22DB490B" w:rsidR="00F96AC2" w:rsidRPr="006D75F3" w:rsidRDefault="00000000" w:rsidP="006D75F3">
      <w:pPr>
        <w:pStyle w:val="Untitledsubclause1"/>
        <w:spacing w:before="0" w:after="0" w:line="20" w:lineRule="atLeast"/>
        <w:rPr>
          <w:sz w:val="20"/>
        </w:rPr>
      </w:pPr>
      <w:bookmarkStart w:id="54" w:name="a767194"/>
      <w:r w:rsidRPr="006D75F3">
        <w:rPr>
          <w:sz w:val="20"/>
        </w:rPr>
        <w:lastRenderedPageBreak/>
        <w:t xml:space="preserve">Further detail on the Shared Personal Data as described in </w:t>
      </w:r>
      <w:r w:rsidRPr="006D75F3">
        <w:rPr>
          <w:sz w:val="20"/>
        </w:rPr>
        <w:fldChar w:fldCharType="begin"/>
      </w:r>
      <w:r w:rsidRPr="006D75F3">
        <w:rPr>
          <w:sz w:val="20"/>
        </w:rPr>
        <w:instrText>PAGEREF a720125\# "'clause '"  \h</w:instrText>
      </w:r>
      <w:r w:rsidRPr="006D75F3">
        <w:rPr>
          <w:sz w:val="20"/>
        </w:rPr>
      </w:r>
      <w:r w:rsidRPr="006D75F3">
        <w:rPr>
          <w:sz w:val="20"/>
        </w:rPr>
        <w:fldChar w:fldCharType="separate"/>
      </w:r>
      <w:r w:rsidRPr="006D75F3">
        <w:rPr>
          <w:sz w:val="20"/>
        </w:rPr>
        <w:t xml:space="preserve">clause </w:t>
      </w:r>
      <w:r w:rsidRPr="006D75F3">
        <w:rPr>
          <w:sz w:val="20"/>
        </w:rPr>
        <w:fldChar w:fldCharType="end"/>
      </w:r>
      <w:r w:rsidRPr="006D75F3">
        <w:rPr>
          <w:sz w:val="20"/>
        </w:rPr>
        <w:fldChar w:fldCharType="begin"/>
      </w:r>
      <w:r w:rsidRPr="006D75F3">
        <w:rPr>
          <w:sz w:val="20"/>
          <w:highlight w:val="lightGray"/>
        </w:rPr>
        <w:instrText>REF a720125 \h \w</w:instrText>
      </w:r>
      <w:r w:rsidR="00B8782F" w:rsidRPr="006D75F3">
        <w:rPr>
          <w:sz w:val="20"/>
        </w:rPr>
        <w:instrText xml:space="preserve"> \* MERGEFORMAT </w:instrText>
      </w:r>
      <w:r w:rsidRPr="006D75F3">
        <w:rPr>
          <w:sz w:val="20"/>
        </w:rPr>
      </w:r>
      <w:r w:rsidRPr="006D75F3">
        <w:rPr>
          <w:sz w:val="20"/>
        </w:rPr>
        <w:fldChar w:fldCharType="separate"/>
      </w:r>
      <w:r w:rsidRPr="006D75F3">
        <w:rPr>
          <w:sz w:val="20"/>
        </w:rPr>
        <w:t>4.1</w:t>
      </w:r>
      <w:r w:rsidRPr="006D75F3">
        <w:rPr>
          <w:sz w:val="20"/>
        </w:rPr>
        <w:fldChar w:fldCharType="end"/>
      </w:r>
      <w:r w:rsidRPr="006D75F3">
        <w:rPr>
          <w:iCs/>
          <w:sz w:val="20"/>
        </w:rPr>
        <w:t>,</w:t>
      </w:r>
      <w:r w:rsidRPr="006D75F3">
        <w:rPr>
          <w:sz w:val="20"/>
        </w:rPr>
        <w:t xml:space="preserve"> [</w:t>
      </w:r>
      <w:r w:rsidRPr="0018528C">
        <w:rPr>
          <w:sz w:val="20"/>
        </w:rPr>
        <w:t xml:space="preserve">and </w:t>
      </w:r>
      <w:r w:rsidRPr="0018528C">
        <w:rPr>
          <w:sz w:val="20"/>
        </w:rPr>
        <w:fldChar w:fldCharType="begin"/>
      </w:r>
      <w:r w:rsidRPr="0018528C">
        <w:rPr>
          <w:sz w:val="20"/>
        </w:rPr>
        <w:instrText>PAGEREF a415186\# "'clause '"  \h</w:instrText>
      </w:r>
      <w:r w:rsidRPr="0018528C">
        <w:rPr>
          <w:sz w:val="20"/>
        </w:rPr>
      </w:r>
      <w:r w:rsidRPr="0018528C">
        <w:rPr>
          <w:sz w:val="20"/>
        </w:rPr>
        <w:fldChar w:fldCharType="separate"/>
      </w:r>
      <w:r w:rsidRPr="0018528C">
        <w:rPr>
          <w:sz w:val="20"/>
        </w:rPr>
        <w:t xml:space="preserve">clause </w:t>
      </w:r>
      <w:r w:rsidRPr="0018528C">
        <w:rPr>
          <w:sz w:val="20"/>
        </w:rPr>
        <w:fldChar w:fldCharType="end"/>
      </w:r>
      <w:r w:rsidRPr="0018528C">
        <w:rPr>
          <w:sz w:val="20"/>
        </w:rPr>
        <w:fldChar w:fldCharType="begin"/>
      </w:r>
      <w:r w:rsidRPr="0018528C">
        <w:rPr>
          <w:sz w:val="20"/>
        </w:rPr>
        <w:instrText>REF a415186 \h \w</w:instrText>
      </w:r>
      <w:r w:rsidR="00B8782F" w:rsidRPr="0018528C">
        <w:rPr>
          <w:sz w:val="20"/>
        </w:rPr>
        <w:instrText xml:space="preserve"> \* MERGEFORMAT </w:instrText>
      </w:r>
      <w:r w:rsidRPr="0018528C">
        <w:rPr>
          <w:sz w:val="20"/>
        </w:rPr>
      </w:r>
      <w:r w:rsidRPr="0018528C">
        <w:rPr>
          <w:sz w:val="20"/>
        </w:rPr>
        <w:fldChar w:fldCharType="separate"/>
      </w:r>
      <w:r w:rsidRPr="0018528C">
        <w:rPr>
          <w:sz w:val="20"/>
        </w:rPr>
        <w:t>4.2</w:t>
      </w:r>
      <w:r w:rsidRPr="0018528C">
        <w:rPr>
          <w:sz w:val="20"/>
        </w:rPr>
        <w:fldChar w:fldCharType="end"/>
      </w:r>
      <w:r w:rsidRPr="0018528C">
        <w:rPr>
          <w:sz w:val="20"/>
        </w:rPr>
        <w:t>] is</w:t>
      </w:r>
      <w:r w:rsidRPr="006D75F3">
        <w:rPr>
          <w:sz w:val="20"/>
        </w:rPr>
        <w:t xml:space="preserve"> set out in </w:t>
      </w:r>
      <w:r w:rsidR="0000477F">
        <w:rPr>
          <w:sz w:val="20"/>
        </w:rPr>
        <w:t>Schedule 2</w:t>
      </w:r>
      <w:r w:rsidRPr="006D75F3">
        <w:rPr>
          <w:sz w:val="20"/>
        </w:rPr>
        <w:t xml:space="preserve"> together with any access and processing restrictions as agreed and established by the parties. </w:t>
      </w:r>
      <w:bookmarkEnd w:id="54"/>
    </w:p>
    <w:p w14:paraId="17A7512E" w14:textId="77777777" w:rsidR="006D75F3" w:rsidRPr="006D75F3" w:rsidRDefault="006D75F3" w:rsidP="006D75F3">
      <w:pPr>
        <w:pStyle w:val="Untitledsubclause1"/>
        <w:numPr>
          <w:ilvl w:val="0"/>
          <w:numId w:val="0"/>
        </w:numPr>
        <w:spacing w:before="0" w:after="0" w:line="20" w:lineRule="atLeast"/>
        <w:rPr>
          <w:sz w:val="20"/>
        </w:rPr>
      </w:pPr>
    </w:p>
    <w:p w14:paraId="0011C405" w14:textId="1C83B61F" w:rsidR="005359C6" w:rsidRDefault="00000000" w:rsidP="005359C6">
      <w:pPr>
        <w:pStyle w:val="Untitledsubclause1"/>
        <w:spacing w:before="0" w:after="0" w:line="20" w:lineRule="atLeast"/>
        <w:rPr>
          <w:sz w:val="20"/>
        </w:rPr>
      </w:pPr>
      <w:bookmarkStart w:id="55" w:name="a909661"/>
      <w:r w:rsidRPr="006D75F3">
        <w:rPr>
          <w:sz w:val="20"/>
        </w:rPr>
        <w:t xml:space="preserve">The Shared Personal Data must not be irrelevant or excessive </w:t>
      </w:r>
      <w:proofErr w:type="gramStart"/>
      <w:r w:rsidRPr="006D75F3">
        <w:rPr>
          <w:sz w:val="20"/>
        </w:rPr>
        <w:t>with regard to</w:t>
      </w:r>
      <w:proofErr w:type="gramEnd"/>
      <w:r w:rsidRPr="006D75F3">
        <w:rPr>
          <w:sz w:val="20"/>
        </w:rPr>
        <w:t xml:space="preserve"> the Agreed Purposes.</w:t>
      </w:r>
      <w:bookmarkEnd w:id="55"/>
    </w:p>
    <w:p w14:paraId="7A6D758A" w14:textId="77777777" w:rsidR="00362A4B" w:rsidRDefault="00362A4B" w:rsidP="00362A4B">
      <w:pPr>
        <w:pStyle w:val="ListParagraph"/>
        <w:rPr>
          <w:sz w:val="20"/>
        </w:rPr>
      </w:pPr>
    </w:p>
    <w:p w14:paraId="1D05968E" w14:textId="7A55BE9A" w:rsidR="00362A4B" w:rsidRPr="00362A4B" w:rsidRDefault="00362A4B" w:rsidP="00362A4B">
      <w:pPr>
        <w:pStyle w:val="Untitledsubclause1"/>
        <w:numPr>
          <w:ilvl w:val="0"/>
          <w:numId w:val="0"/>
        </w:numPr>
        <w:spacing w:before="0" w:after="0" w:line="20" w:lineRule="atLeast"/>
        <w:ind w:left="720" w:hanging="720"/>
        <w:rPr>
          <w:b/>
          <w:bCs/>
          <w:sz w:val="20"/>
        </w:rPr>
      </w:pPr>
      <w:r w:rsidRPr="00362A4B">
        <w:rPr>
          <w:b/>
          <w:bCs/>
          <w:sz w:val="20"/>
        </w:rPr>
        <w:t xml:space="preserve">Data Transfer </w:t>
      </w:r>
    </w:p>
    <w:p w14:paraId="6CB88CD4" w14:textId="77777777" w:rsidR="00362A4B" w:rsidRDefault="00362A4B" w:rsidP="00362A4B">
      <w:pPr>
        <w:pStyle w:val="Untitledsubclause1"/>
        <w:numPr>
          <w:ilvl w:val="0"/>
          <w:numId w:val="0"/>
        </w:numPr>
        <w:spacing w:before="0" w:after="0" w:line="20" w:lineRule="atLeast"/>
        <w:ind w:left="720" w:hanging="720"/>
        <w:rPr>
          <w:sz w:val="20"/>
        </w:rPr>
      </w:pPr>
    </w:p>
    <w:p w14:paraId="2D0173E3" w14:textId="07C9F85C" w:rsidR="00362A4B" w:rsidRDefault="00362A4B" w:rsidP="00362A4B">
      <w:pPr>
        <w:pStyle w:val="Untitledsubclause1"/>
        <w:numPr>
          <w:ilvl w:val="0"/>
          <w:numId w:val="0"/>
        </w:numPr>
        <w:spacing w:before="0" w:after="0" w:line="20" w:lineRule="atLeast"/>
        <w:ind w:left="720" w:hanging="720"/>
        <w:rPr>
          <w:sz w:val="20"/>
        </w:rPr>
      </w:pPr>
      <w:r>
        <w:rPr>
          <w:sz w:val="20"/>
        </w:rPr>
        <w:t xml:space="preserve">  One Voice limited (via NUS digital union cloud) and UNITU ltd will act as a data processor on behalf of the union to obtain data directly from the university. The personal data will be transferred to UNITU </w:t>
      </w:r>
      <w:proofErr w:type="gramStart"/>
      <w:r>
        <w:rPr>
          <w:sz w:val="20"/>
        </w:rPr>
        <w:t>and  One</w:t>
      </w:r>
      <w:proofErr w:type="gramEnd"/>
      <w:r>
        <w:rPr>
          <w:sz w:val="20"/>
        </w:rPr>
        <w:t xml:space="preserve"> Voice Limited electronically using a secure file sharing system with the latest security measures.</w:t>
      </w:r>
    </w:p>
    <w:p w14:paraId="78318CC3" w14:textId="4009BCB3" w:rsidR="00362A4B" w:rsidRDefault="00362A4B" w:rsidP="00362A4B">
      <w:pPr>
        <w:pStyle w:val="Untitledsubclause1"/>
        <w:numPr>
          <w:ilvl w:val="0"/>
          <w:numId w:val="0"/>
        </w:numPr>
        <w:spacing w:before="0" w:after="0" w:line="20" w:lineRule="atLeast"/>
        <w:ind w:left="720" w:hanging="720"/>
        <w:rPr>
          <w:sz w:val="20"/>
        </w:rPr>
      </w:pPr>
    </w:p>
    <w:p w14:paraId="077E8189" w14:textId="77777777" w:rsidR="00362A4B" w:rsidRDefault="00362A4B" w:rsidP="00362A4B">
      <w:pPr>
        <w:pStyle w:val="Untitledsubclause1"/>
        <w:numPr>
          <w:ilvl w:val="0"/>
          <w:numId w:val="0"/>
        </w:numPr>
        <w:spacing w:before="0" w:after="0" w:line="20" w:lineRule="atLeast"/>
        <w:ind w:left="720" w:hanging="720"/>
        <w:rPr>
          <w:sz w:val="20"/>
        </w:rPr>
      </w:pPr>
    </w:p>
    <w:p w14:paraId="5C689996" w14:textId="24048BAD" w:rsidR="00362A4B" w:rsidRPr="00362A4B" w:rsidRDefault="00362A4B" w:rsidP="00362A4B">
      <w:pPr>
        <w:pStyle w:val="Untitledsubclause1"/>
        <w:numPr>
          <w:ilvl w:val="0"/>
          <w:numId w:val="0"/>
        </w:numPr>
        <w:spacing w:before="0" w:after="0" w:line="20" w:lineRule="atLeast"/>
        <w:rPr>
          <w:b/>
          <w:bCs/>
          <w:sz w:val="20"/>
        </w:rPr>
      </w:pPr>
      <w:r w:rsidRPr="00362A4B">
        <w:rPr>
          <w:b/>
          <w:bCs/>
          <w:sz w:val="20"/>
        </w:rPr>
        <w:t>Information Provision</w:t>
      </w:r>
    </w:p>
    <w:p w14:paraId="06D369A8" w14:textId="77777777" w:rsidR="00362A4B" w:rsidRDefault="00362A4B" w:rsidP="00362A4B">
      <w:pPr>
        <w:pStyle w:val="Untitledsubclause1"/>
        <w:numPr>
          <w:ilvl w:val="0"/>
          <w:numId w:val="0"/>
        </w:numPr>
        <w:spacing w:before="0" w:after="0" w:line="20" w:lineRule="atLeast"/>
        <w:rPr>
          <w:sz w:val="20"/>
        </w:rPr>
      </w:pPr>
    </w:p>
    <w:p w14:paraId="4B56A502" w14:textId="0ED620BD" w:rsidR="00362A4B" w:rsidRPr="005359C6" w:rsidRDefault="00362A4B" w:rsidP="00362A4B">
      <w:pPr>
        <w:pStyle w:val="Untitledsubclause1"/>
        <w:numPr>
          <w:ilvl w:val="0"/>
          <w:numId w:val="0"/>
        </w:numPr>
        <w:spacing w:before="0" w:after="0" w:line="20" w:lineRule="atLeast"/>
        <w:ind w:left="720" w:hanging="720"/>
        <w:rPr>
          <w:sz w:val="20"/>
        </w:rPr>
      </w:pPr>
      <w:r>
        <w:rPr>
          <w:sz w:val="20"/>
        </w:rPr>
        <w:t>Student information will be provided via a regulated ‘read only’ view of the student record system to agreed union staff members.</w:t>
      </w:r>
    </w:p>
    <w:p w14:paraId="6D75B033" w14:textId="77777777" w:rsidR="00B8782F" w:rsidRPr="006D75F3" w:rsidRDefault="00B8782F" w:rsidP="006D75F3">
      <w:pPr>
        <w:pStyle w:val="Untitledsubclause1"/>
        <w:numPr>
          <w:ilvl w:val="0"/>
          <w:numId w:val="0"/>
        </w:numPr>
        <w:spacing w:before="0" w:after="0" w:line="20" w:lineRule="atLeast"/>
        <w:ind w:left="720"/>
        <w:rPr>
          <w:sz w:val="20"/>
        </w:rPr>
      </w:pPr>
    </w:p>
    <w:p w14:paraId="2E3766A4" w14:textId="5560711A"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"5. Lawful, fair and transparent processing" \l 1</w:instrText>
      </w:r>
      <w:r w:rsidRPr="006D75F3">
        <w:rPr>
          <w:sz w:val="20"/>
        </w:rPr>
        <w:fldChar w:fldCharType="end"/>
      </w:r>
      <w:bookmarkStart w:id="56" w:name="_Toc256000004"/>
      <w:bookmarkStart w:id="57" w:name="a830249"/>
      <w:r w:rsidR="00B8782F" w:rsidRPr="006D75F3">
        <w:rPr>
          <w:sz w:val="20"/>
        </w:rPr>
        <w:t>LAWFUL, FAIR AND TRANSPARENT PROCESSING</w:t>
      </w:r>
      <w:bookmarkEnd w:id="56"/>
      <w:bookmarkEnd w:id="57"/>
    </w:p>
    <w:p w14:paraId="6D83DA6F" w14:textId="77777777" w:rsidR="00B8782F" w:rsidRPr="006D75F3" w:rsidRDefault="00B8782F" w:rsidP="006D75F3">
      <w:pPr>
        <w:pStyle w:val="TitleClause"/>
        <w:numPr>
          <w:ilvl w:val="0"/>
          <w:numId w:val="0"/>
        </w:numPr>
        <w:spacing w:before="0" w:after="0" w:line="20" w:lineRule="atLeast"/>
        <w:ind w:left="720"/>
        <w:rPr>
          <w:sz w:val="20"/>
        </w:rPr>
      </w:pPr>
    </w:p>
    <w:p w14:paraId="1E697640" w14:textId="7B42397E" w:rsidR="00F96AC2" w:rsidRPr="006D75F3" w:rsidRDefault="00000000" w:rsidP="006D75F3">
      <w:pPr>
        <w:pStyle w:val="Untitledsubclause1"/>
        <w:spacing w:before="0" w:after="0" w:line="20" w:lineRule="atLeast"/>
        <w:rPr>
          <w:sz w:val="20"/>
        </w:rPr>
      </w:pPr>
      <w:bookmarkStart w:id="58" w:name="a754701"/>
      <w:r w:rsidRPr="006D75F3">
        <w:rPr>
          <w:sz w:val="20"/>
        </w:rPr>
        <w:t xml:space="preserve">Each party shall ensure that it Processes the Shared Personal Data fairly and lawfully in accordance with </w:t>
      </w:r>
      <w:r w:rsidRPr="006D75F3">
        <w:rPr>
          <w:sz w:val="20"/>
        </w:rPr>
        <w:fldChar w:fldCharType="begin"/>
      </w:r>
      <w:r w:rsidRPr="006D75F3">
        <w:rPr>
          <w:sz w:val="20"/>
        </w:rPr>
        <w:instrText>PAGEREF a656048\# "'clause '"  \h</w:instrText>
      </w:r>
      <w:r w:rsidRPr="006D75F3">
        <w:rPr>
          <w:sz w:val="20"/>
        </w:rPr>
      </w:r>
      <w:r w:rsidRPr="006D75F3">
        <w:rPr>
          <w:sz w:val="20"/>
        </w:rPr>
        <w:fldChar w:fldCharType="separate"/>
      </w:r>
      <w:r w:rsidRPr="006D75F3">
        <w:rPr>
          <w:sz w:val="20"/>
        </w:rPr>
        <w:t xml:space="preserve">clause </w:t>
      </w:r>
      <w:r w:rsidRPr="006D75F3">
        <w:rPr>
          <w:sz w:val="20"/>
        </w:rPr>
        <w:fldChar w:fldCharType="end"/>
      </w:r>
      <w:r w:rsidRPr="006D75F3">
        <w:rPr>
          <w:sz w:val="20"/>
        </w:rPr>
        <w:fldChar w:fldCharType="begin"/>
      </w:r>
      <w:r w:rsidRPr="006D75F3">
        <w:rPr>
          <w:sz w:val="20"/>
          <w:highlight w:val="lightGray"/>
        </w:rPr>
        <w:instrText>REF a656048 \h \w</w:instrText>
      </w:r>
      <w:r w:rsidR="00B8782F" w:rsidRPr="006D75F3">
        <w:rPr>
          <w:sz w:val="20"/>
        </w:rPr>
        <w:instrText xml:space="preserve"> \* MERGEFORMAT </w:instrText>
      </w:r>
      <w:r w:rsidRPr="006D75F3">
        <w:rPr>
          <w:sz w:val="20"/>
        </w:rPr>
      </w:r>
      <w:r w:rsidRPr="006D75F3">
        <w:rPr>
          <w:sz w:val="20"/>
        </w:rPr>
        <w:fldChar w:fldCharType="separate"/>
      </w:r>
      <w:r w:rsidRPr="006D75F3">
        <w:rPr>
          <w:sz w:val="20"/>
        </w:rPr>
        <w:t>5.2</w:t>
      </w:r>
      <w:r w:rsidRPr="006D75F3">
        <w:rPr>
          <w:sz w:val="20"/>
        </w:rPr>
        <w:fldChar w:fldCharType="end"/>
      </w:r>
      <w:r w:rsidRPr="006D75F3">
        <w:rPr>
          <w:sz w:val="20"/>
        </w:rPr>
        <w:t xml:space="preserve"> during the Term of this Agreement.</w:t>
      </w:r>
      <w:bookmarkEnd w:id="58"/>
    </w:p>
    <w:p w14:paraId="7978C97F" w14:textId="77777777" w:rsidR="00B8782F" w:rsidRPr="006D75F3" w:rsidRDefault="00B8782F" w:rsidP="006D75F3">
      <w:pPr>
        <w:pStyle w:val="Untitledsubclause1"/>
        <w:numPr>
          <w:ilvl w:val="0"/>
          <w:numId w:val="0"/>
        </w:numPr>
        <w:spacing w:before="0" w:after="0" w:line="20" w:lineRule="atLeast"/>
        <w:ind w:left="720"/>
        <w:rPr>
          <w:sz w:val="20"/>
        </w:rPr>
      </w:pPr>
    </w:p>
    <w:p w14:paraId="4EEA3277" w14:textId="46832CFE" w:rsidR="00F96AC2" w:rsidRPr="006D75F3" w:rsidRDefault="00000000" w:rsidP="006D75F3">
      <w:pPr>
        <w:pStyle w:val="Untitledsubclause1"/>
        <w:spacing w:before="0" w:after="0" w:line="20" w:lineRule="atLeast"/>
        <w:rPr>
          <w:sz w:val="20"/>
        </w:rPr>
      </w:pPr>
      <w:bookmarkStart w:id="59" w:name="a656048"/>
      <w:r w:rsidRPr="006D75F3">
        <w:rPr>
          <w:sz w:val="20"/>
        </w:rPr>
        <w:t>Each party shall ensure that it has legitimate grounds under the Data Protection Legislation for the Processing of Shared Personal Data</w:t>
      </w:r>
      <w:bookmarkEnd w:id="59"/>
      <w:r w:rsidR="00B8782F" w:rsidRPr="006D75F3">
        <w:rPr>
          <w:sz w:val="20"/>
        </w:rPr>
        <w:t>.</w:t>
      </w:r>
    </w:p>
    <w:p w14:paraId="3A1C6307" w14:textId="77777777" w:rsidR="00B8782F" w:rsidRPr="006D75F3" w:rsidRDefault="00B8782F" w:rsidP="006D75F3">
      <w:pPr>
        <w:pStyle w:val="Untitledsubclause1"/>
        <w:numPr>
          <w:ilvl w:val="0"/>
          <w:numId w:val="0"/>
        </w:numPr>
        <w:spacing w:before="0" w:after="0" w:line="20" w:lineRule="atLeast"/>
        <w:rPr>
          <w:sz w:val="20"/>
        </w:rPr>
      </w:pPr>
    </w:p>
    <w:p w14:paraId="099EE86F" w14:textId="77777777" w:rsidR="00F96AC2" w:rsidRPr="006D75F3" w:rsidRDefault="00000000" w:rsidP="006D75F3">
      <w:pPr>
        <w:pStyle w:val="Untitledsubclause1"/>
        <w:spacing w:before="0" w:after="0" w:line="20" w:lineRule="atLeast"/>
        <w:rPr>
          <w:sz w:val="20"/>
        </w:rPr>
      </w:pPr>
      <w:bookmarkStart w:id="60" w:name="a150904"/>
      <w:r w:rsidRPr="006D75F3">
        <w:rPr>
          <w:sz w:val="20"/>
        </w:rPr>
        <w:t>The parties each agree to provide such assistance as is reasonably required to enable the other party to comply with Subject Rights Requests within the time limits imposed by the Data Protection Legislation.</w:t>
      </w:r>
      <w:bookmarkEnd w:id="60"/>
    </w:p>
    <w:p w14:paraId="2DE345C3" w14:textId="77777777" w:rsidR="00B8782F" w:rsidRPr="006D75F3" w:rsidRDefault="00B8782F" w:rsidP="006D75F3">
      <w:pPr>
        <w:pStyle w:val="Untitledsubclause2"/>
        <w:numPr>
          <w:ilvl w:val="0"/>
          <w:numId w:val="0"/>
        </w:numPr>
        <w:spacing w:after="0" w:line="20" w:lineRule="atLeast"/>
        <w:rPr>
          <w:sz w:val="20"/>
        </w:rPr>
      </w:pPr>
    </w:p>
    <w:p w14:paraId="0E663B0A" w14:textId="6B1C55BB" w:rsidR="00F96AC2" w:rsidRPr="00D959F2" w:rsidRDefault="00000000" w:rsidP="006D75F3">
      <w:pPr>
        <w:pStyle w:val="Untitledsubclause1"/>
        <w:spacing w:before="0" w:after="0" w:line="20" w:lineRule="atLeast"/>
        <w:rPr>
          <w:sz w:val="20"/>
        </w:rPr>
      </w:pPr>
      <w:bookmarkStart w:id="61" w:name="a974879"/>
      <w:r w:rsidRPr="00D959F2">
        <w:rPr>
          <w:sz w:val="20"/>
        </w:rPr>
        <w:t>The Data Receiver undertakes to inform the Data Subjects, in accordance with the Data Protection Legislation, of the purposes for which it will process their Personal Data, the legal basis for such purposes and such other information as is required by the Data Protection Legislation including:</w:t>
      </w:r>
      <w:r w:rsidRPr="00D959F2">
        <w:rPr>
          <w:sz w:val="20"/>
        </w:rPr>
        <w:fldChar w:fldCharType="begin"/>
      </w:r>
      <w:r w:rsidRPr="00D959F2">
        <w:rPr>
          <w:sz w:val="20"/>
        </w:rPr>
        <w:instrText xml:space="preserve"> MACROBUTTON optional </w:instrText>
      </w:r>
      <w:r w:rsidRPr="00D959F2">
        <w:rPr>
          <w:sz w:val="20"/>
        </w:rPr>
        <w:fldChar w:fldCharType="end"/>
      </w:r>
      <w:bookmarkEnd w:id="61"/>
    </w:p>
    <w:p w14:paraId="67EC15F0" w14:textId="77777777" w:rsidR="00B8782F" w:rsidRPr="00D959F2" w:rsidRDefault="00B8782F" w:rsidP="006D75F3">
      <w:pPr>
        <w:pStyle w:val="Untitledsubclause1"/>
        <w:numPr>
          <w:ilvl w:val="0"/>
          <w:numId w:val="0"/>
        </w:numPr>
        <w:spacing w:before="0" w:after="0" w:line="20" w:lineRule="atLeast"/>
        <w:ind w:left="720"/>
        <w:rPr>
          <w:sz w:val="20"/>
        </w:rPr>
      </w:pPr>
    </w:p>
    <w:p w14:paraId="02F3B67E" w14:textId="7F3BD71E" w:rsidR="00F96AC2" w:rsidRPr="00D959F2" w:rsidRDefault="00000000" w:rsidP="006D75F3">
      <w:pPr>
        <w:pStyle w:val="Untitledsubclause2"/>
        <w:spacing w:after="0" w:line="20" w:lineRule="atLeast"/>
        <w:rPr>
          <w:sz w:val="20"/>
        </w:rPr>
      </w:pPr>
      <w:bookmarkStart w:id="62" w:name="a352262"/>
      <w:r w:rsidRPr="00D959F2">
        <w:rPr>
          <w:sz w:val="20"/>
        </w:rPr>
        <w:t>[if Shared Personal Data will be transferred to a third party, that fact and sufficient information about such transfer and the purpose of such transfer to enable the Data Subject to understand the purpose and risks of such transfer; and</w:t>
      </w:r>
      <w:r w:rsidRPr="00D959F2">
        <w:rPr>
          <w:sz w:val="20"/>
        </w:rPr>
        <w:fldChar w:fldCharType="begin"/>
      </w:r>
      <w:r w:rsidRPr="00D959F2">
        <w:rPr>
          <w:sz w:val="20"/>
        </w:rPr>
        <w:fldChar w:fldCharType="end"/>
      </w:r>
      <w:bookmarkEnd w:id="62"/>
    </w:p>
    <w:p w14:paraId="4B4295FB" w14:textId="77777777" w:rsidR="00B8782F" w:rsidRPr="00D959F2" w:rsidRDefault="00B8782F" w:rsidP="006D75F3">
      <w:pPr>
        <w:pStyle w:val="Untitledsubclause2"/>
        <w:numPr>
          <w:ilvl w:val="0"/>
          <w:numId w:val="0"/>
        </w:numPr>
        <w:spacing w:after="0" w:line="20" w:lineRule="atLeast"/>
        <w:ind w:left="1555"/>
        <w:rPr>
          <w:sz w:val="20"/>
        </w:rPr>
      </w:pPr>
    </w:p>
    <w:p w14:paraId="5AACBAAA" w14:textId="3911E99C" w:rsidR="00F96AC2" w:rsidRPr="00D959F2" w:rsidRDefault="00000000" w:rsidP="006D75F3">
      <w:pPr>
        <w:pStyle w:val="Untitledsubclause2"/>
        <w:spacing w:after="0" w:line="20" w:lineRule="atLeast"/>
        <w:rPr>
          <w:sz w:val="20"/>
        </w:rPr>
      </w:pPr>
      <w:bookmarkStart w:id="63" w:name="a994483"/>
      <w:r w:rsidRPr="00D959F2">
        <w:rPr>
          <w:sz w:val="20"/>
        </w:rPr>
        <w:t xml:space="preserve">if Shared Personal Data will be transferred outside the UK pursuant to </w:t>
      </w:r>
      <w:r w:rsidRPr="00D959F2">
        <w:rPr>
          <w:sz w:val="20"/>
        </w:rPr>
        <w:fldChar w:fldCharType="begin"/>
      </w:r>
      <w:r w:rsidRPr="00D959F2">
        <w:rPr>
          <w:sz w:val="20"/>
        </w:rPr>
        <w:instrText>PAGEREF a946998\# "'clause '"  \h</w:instrText>
      </w:r>
      <w:r w:rsidRPr="00D959F2">
        <w:rPr>
          <w:sz w:val="20"/>
        </w:rPr>
      </w:r>
      <w:r w:rsidRPr="00D959F2">
        <w:rPr>
          <w:sz w:val="20"/>
        </w:rPr>
        <w:fldChar w:fldCharType="separate"/>
      </w:r>
      <w:r w:rsidRPr="00D959F2">
        <w:rPr>
          <w:sz w:val="20"/>
        </w:rPr>
        <w:t xml:space="preserve">clause </w:t>
      </w:r>
      <w:r w:rsidRPr="00D959F2">
        <w:rPr>
          <w:sz w:val="20"/>
        </w:rPr>
        <w:fldChar w:fldCharType="end"/>
      </w:r>
      <w:r w:rsidRPr="00D959F2">
        <w:rPr>
          <w:sz w:val="20"/>
        </w:rPr>
        <w:fldChar w:fldCharType="begin"/>
      </w:r>
      <w:r w:rsidRPr="00D959F2">
        <w:rPr>
          <w:sz w:val="20"/>
        </w:rPr>
        <w:instrText>REF a946998 \h \w</w:instrText>
      </w:r>
      <w:r w:rsidR="00B8782F" w:rsidRPr="00D959F2">
        <w:rPr>
          <w:sz w:val="20"/>
        </w:rPr>
        <w:instrText xml:space="preserve"> \* MERGEFORMAT </w:instrText>
      </w:r>
      <w:r w:rsidRPr="00D959F2">
        <w:rPr>
          <w:sz w:val="20"/>
        </w:rPr>
      </w:r>
      <w:r w:rsidRPr="00D959F2">
        <w:rPr>
          <w:sz w:val="20"/>
        </w:rPr>
        <w:fldChar w:fldCharType="separate"/>
      </w:r>
      <w:r w:rsidRPr="00D959F2">
        <w:rPr>
          <w:sz w:val="20"/>
        </w:rPr>
        <w:t>9</w:t>
      </w:r>
      <w:r w:rsidRPr="00D959F2">
        <w:rPr>
          <w:sz w:val="20"/>
        </w:rPr>
        <w:fldChar w:fldCharType="end"/>
      </w:r>
      <w:r w:rsidRPr="00D959F2">
        <w:rPr>
          <w:sz w:val="20"/>
        </w:rPr>
        <w:t xml:space="preserve"> of this Agreement, that fact and sufficient information about such transfer, the purpose of such transfer and the safeguards put in place by the Controller to enable the Data Subject to understand the purpose and risks of such transfer.</w:t>
      </w:r>
      <w:bookmarkEnd w:id="63"/>
    </w:p>
    <w:p w14:paraId="636C1A53" w14:textId="77777777" w:rsidR="00B8782F" w:rsidRPr="00D959F2" w:rsidRDefault="00B8782F" w:rsidP="006D75F3">
      <w:pPr>
        <w:pStyle w:val="Untitledsubclause2"/>
        <w:numPr>
          <w:ilvl w:val="0"/>
          <w:numId w:val="0"/>
        </w:numPr>
        <w:spacing w:after="0" w:line="20" w:lineRule="atLeast"/>
        <w:rPr>
          <w:sz w:val="20"/>
        </w:rPr>
      </w:pPr>
    </w:p>
    <w:p w14:paraId="2F82031F" w14:textId="5737BAF4" w:rsidR="00F96AC2" w:rsidRPr="00D959F2" w:rsidRDefault="00000000" w:rsidP="006D75F3">
      <w:pPr>
        <w:pStyle w:val="TitleClause"/>
        <w:spacing w:before="0" w:after="0" w:line="20" w:lineRule="atLeast"/>
        <w:rPr>
          <w:sz w:val="20"/>
        </w:rPr>
      </w:pPr>
      <w:r w:rsidRPr="00D959F2">
        <w:rPr>
          <w:sz w:val="20"/>
        </w:rPr>
        <w:fldChar w:fldCharType="begin"/>
      </w:r>
      <w:r w:rsidRPr="00D959F2">
        <w:rPr>
          <w:sz w:val="20"/>
        </w:rPr>
        <w:instrText>TC "6. Data quality" \l 1</w:instrText>
      </w:r>
      <w:r w:rsidRPr="00D959F2">
        <w:rPr>
          <w:sz w:val="20"/>
        </w:rPr>
        <w:fldChar w:fldCharType="end"/>
      </w:r>
      <w:bookmarkStart w:id="64" w:name="_Toc256000005"/>
      <w:bookmarkStart w:id="65" w:name="a426835"/>
      <w:r w:rsidR="00B8782F" w:rsidRPr="00D959F2">
        <w:rPr>
          <w:sz w:val="20"/>
        </w:rPr>
        <w:t>DATA QUALITY</w:t>
      </w:r>
      <w:bookmarkEnd w:id="64"/>
      <w:bookmarkEnd w:id="65"/>
    </w:p>
    <w:p w14:paraId="0CFD9D10" w14:textId="77777777" w:rsidR="00B8782F" w:rsidRPr="006D75F3" w:rsidRDefault="00B8782F" w:rsidP="006D75F3">
      <w:pPr>
        <w:pStyle w:val="Untitledsubclause1"/>
        <w:numPr>
          <w:ilvl w:val="0"/>
          <w:numId w:val="0"/>
        </w:numPr>
        <w:spacing w:before="0" w:after="0" w:line="20" w:lineRule="atLeast"/>
        <w:rPr>
          <w:sz w:val="20"/>
        </w:rPr>
      </w:pPr>
    </w:p>
    <w:p w14:paraId="0F4C3839" w14:textId="77777777" w:rsidR="00F96AC2" w:rsidRPr="006D75F3" w:rsidRDefault="00000000" w:rsidP="006D75F3">
      <w:pPr>
        <w:pStyle w:val="Untitledsubclause1"/>
        <w:spacing w:before="0" w:after="0" w:line="20" w:lineRule="atLeast"/>
        <w:rPr>
          <w:sz w:val="20"/>
        </w:rPr>
      </w:pPr>
      <w:bookmarkStart w:id="66" w:name="a499393"/>
      <w:r w:rsidRPr="006D75F3">
        <w:rPr>
          <w:sz w:val="20"/>
        </w:rPr>
        <w:t>The Data Discloser shall ensure that before the Commencement Date, Shared Personal Data is accurate and that it has appropriate internal procedures in place for the Data Receiver to sample Shared Personal Data prior to the Commencement Date and it will update the same if required prior to transferring the Shared Personal Data.</w:t>
      </w:r>
      <w:bookmarkEnd w:id="66"/>
    </w:p>
    <w:p w14:paraId="39882DD6" w14:textId="77777777" w:rsidR="00B8782F" w:rsidRPr="006D75F3" w:rsidRDefault="00B8782F" w:rsidP="006D75F3">
      <w:pPr>
        <w:pStyle w:val="Untitledsubclause1"/>
        <w:numPr>
          <w:ilvl w:val="0"/>
          <w:numId w:val="0"/>
        </w:numPr>
        <w:spacing w:before="0" w:after="0" w:line="20" w:lineRule="atLeast"/>
        <w:rPr>
          <w:sz w:val="20"/>
        </w:rPr>
      </w:pPr>
    </w:p>
    <w:p w14:paraId="7A15ABE9" w14:textId="063341AF" w:rsidR="00F96AC2" w:rsidRPr="00180C50" w:rsidRDefault="00000000" w:rsidP="006D75F3">
      <w:pPr>
        <w:pStyle w:val="Untitledsubclause1"/>
        <w:spacing w:before="0" w:after="0" w:line="20" w:lineRule="atLeast"/>
        <w:rPr>
          <w:sz w:val="20"/>
        </w:rPr>
      </w:pPr>
      <w:bookmarkStart w:id="67" w:name="a298274"/>
      <w:r w:rsidRPr="0018528C">
        <w:rPr>
          <w:sz w:val="20"/>
        </w:rPr>
        <w:t xml:space="preserve">Shared Personal Data must be limited to the Personal Data described in </w:t>
      </w:r>
      <w:r w:rsidRPr="0018528C">
        <w:rPr>
          <w:sz w:val="20"/>
        </w:rPr>
        <w:fldChar w:fldCharType="begin"/>
      </w:r>
      <w:r w:rsidRPr="0018528C">
        <w:rPr>
          <w:sz w:val="20"/>
        </w:rPr>
        <w:instrText>PAGEREF a720125\# "'clause '"  \h</w:instrText>
      </w:r>
      <w:r w:rsidRPr="0018528C">
        <w:rPr>
          <w:sz w:val="20"/>
        </w:rPr>
      </w:r>
      <w:r w:rsidRPr="0018528C">
        <w:rPr>
          <w:sz w:val="20"/>
        </w:rPr>
        <w:fldChar w:fldCharType="separate"/>
      </w:r>
      <w:r w:rsidRPr="0018528C">
        <w:rPr>
          <w:sz w:val="20"/>
        </w:rPr>
        <w:t xml:space="preserve">clause </w:t>
      </w:r>
      <w:r w:rsidRPr="0018528C">
        <w:rPr>
          <w:sz w:val="20"/>
        </w:rPr>
        <w:fldChar w:fldCharType="end"/>
      </w:r>
      <w:r w:rsidRPr="0018528C">
        <w:rPr>
          <w:sz w:val="20"/>
        </w:rPr>
        <w:fldChar w:fldCharType="begin"/>
      </w:r>
      <w:r w:rsidRPr="0018528C">
        <w:rPr>
          <w:sz w:val="20"/>
        </w:rPr>
        <w:instrText>REF a720125 \h \w</w:instrText>
      </w:r>
      <w:r w:rsidR="00B8782F" w:rsidRPr="0018528C">
        <w:rPr>
          <w:sz w:val="20"/>
        </w:rPr>
        <w:instrText xml:space="preserve"> \* MERGEFORMAT </w:instrText>
      </w:r>
      <w:r w:rsidRPr="0018528C">
        <w:rPr>
          <w:sz w:val="20"/>
        </w:rPr>
      </w:r>
      <w:r w:rsidRPr="0018528C">
        <w:rPr>
          <w:sz w:val="20"/>
        </w:rPr>
        <w:fldChar w:fldCharType="separate"/>
      </w:r>
      <w:r w:rsidRPr="0018528C">
        <w:rPr>
          <w:sz w:val="20"/>
        </w:rPr>
        <w:t>4.1</w:t>
      </w:r>
      <w:r w:rsidRPr="0018528C">
        <w:rPr>
          <w:sz w:val="20"/>
        </w:rPr>
        <w:fldChar w:fldCharType="end"/>
      </w:r>
      <w:r w:rsidRPr="0018528C">
        <w:rPr>
          <w:sz w:val="20"/>
        </w:rPr>
        <w:t xml:space="preserve"> [and </w:t>
      </w:r>
      <w:r w:rsidRPr="0018528C">
        <w:rPr>
          <w:sz w:val="20"/>
        </w:rPr>
        <w:fldChar w:fldCharType="begin"/>
      </w:r>
      <w:r w:rsidRPr="0018528C">
        <w:rPr>
          <w:sz w:val="20"/>
        </w:rPr>
        <w:instrText>PAGEREF a415186\# "'clause '"  \h</w:instrText>
      </w:r>
      <w:r w:rsidRPr="0018528C">
        <w:rPr>
          <w:sz w:val="20"/>
        </w:rPr>
      </w:r>
      <w:r w:rsidRPr="0018528C">
        <w:rPr>
          <w:sz w:val="20"/>
        </w:rPr>
        <w:fldChar w:fldCharType="separate"/>
      </w:r>
      <w:r w:rsidRPr="0018528C">
        <w:rPr>
          <w:sz w:val="20"/>
        </w:rPr>
        <w:t xml:space="preserve">clause </w:t>
      </w:r>
      <w:r w:rsidRPr="0018528C">
        <w:rPr>
          <w:sz w:val="20"/>
        </w:rPr>
        <w:fldChar w:fldCharType="end"/>
      </w:r>
      <w:r w:rsidRPr="0018528C">
        <w:rPr>
          <w:sz w:val="20"/>
        </w:rPr>
        <w:fldChar w:fldCharType="begin"/>
      </w:r>
      <w:r w:rsidRPr="0018528C">
        <w:rPr>
          <w:sz w:val="20"/>
        </w:rPr>
        <w:instrText>REF a415186 \h \w</w:instrText>
      </w:r>
      <w:r w:rsidR="00B8782F" w:rsidRPr="0018528C">
        <w:rPr>
          <w:sz w:val="20"/>
        </w:rPr>
        <w:instrText xml:space="preserve"> \* MERGEFORMAT </w:instrText>
      </w:r>
      <w:r w:rsidRPr="0018528C">
        <w:rPr>
          <w:sz w:val="20"/>
        </w:rPr>
      </w:r>
      <w:r w:rsidRPr="0018528C">
        <w:rPr>
          <w:sz w:val="20"/>
        </w:rPr>
        <w:fldChar w:fldCharType="separate"/>
      </w:r>
      <w:r w:rsidRPr="0018528C">
        <w:rPr>
          <w:sz w:val="20"/>
        </w:rPr>
        <w:t>4.2</w:t>
      </w:r>
      <w:r w:rsidRPr="0018528C">
        <w:rPr>
          <w:sz w:val="20"/>
        </w:rPr>
        <w:fldChar w:fldCharType="end"/>
      </w:r>
      <w:r w:rsidRPr="0018528C">
        <w:rPr>
          <w:sz w:val="20"/>
        </w:rPr>
        <w:t>]</w:t>
      </w:r>
      <w:r w:rsidR="00180C50">
        <w:rPr>
          <w:sz w:val="20"/>
        </w:rPr>
        <w:t xml:space="preserve"> </w:t>
      </w:r>
      <w:r w:rsidRPr="00180C50">
        <w:rPr>
          <w:sz w:val="20"/>
        </w:rPr>
        <w:t xml:space="preserve">and </w:t>
      </w:r>
      <w:r w:rsidR="0000477F" w:rsidRPr="00180C50">
        <w:rPr>
          <w:sz w:val="20"/>
        </w:rPr>
        <w:t>Schedule 2</w:t>
      </w:r>
      <w:r w:rsidRPr="00180C50">
        <w:rPr>
          <w:sz w:val="20"/>
        </w:rPr>
        <w:t xml:space="preserve"> of this Agreement.</w:t>
      </w:r>
      <w:bookmarkEnd w:id="67"/>
    </w:p>
    <w:p w14:paraId="6F128C1B" w14:textId="77777777" w:rsidR="00B8782F" w:rsidRPr="006D75F3" w:rsidRDefault="00B8782F" w:rsidP="006D75F3">
      <w:pPr>
        <w:pStyle w:val="Untitledsubclause1"/>
        <w:numPr>
          <w:ilvl w:val="0"/>
          <w:numId w:val="0"/>
        </w:numPr>
        <w:spacing w:before="0" w:after="0" w:line="20" w:lineRule="atLeast"/>
        <w:rPr>
          <w:sz w:val="20"/>
        </w:rPr>
      </w:pPr>
    </w:p>
    <w:p w14:paraId="2C70F53E" w14:textId="0A7DED17"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"7. Data subjects' rights" \l 1</w:instrText>
      </w:r>
      <w:r w:rsidRPr="006D75F3">
        <w:rPr>
          <w:sz w:val="20"/>
        </w:rPr>
        <w:fldChar w:fldCharType="end"/>
      </w:r>
      <w:bookmarkStart w:id="68" w:name="_Toc256000006"/>
      <w:bookmarkStart w:id="69" w:name="a187657"/>
      <w:r w:rsidR="00B8782F" w:rsidRPr="006D75F3">
        <w:rPr>
          <w:sz w:val="20"/>
        </w:rPr>
        <w:t>DATA SUBJECTS' RIGHTS</w:t>
      </w:r>
      <w:bookmarkEnd w:id="68"/>
      <w:bookmarkEnd w:id="69"/>
    </w:p>
    <w:p w14:paraId="1A9EA1E2" w14:textId="77777777" w:rsidR="00B8782F" w:rsidRPr="006D75F3" w:rsidRDefault="00B8782F" w:rsidP="006D75F3">
      <w:pPr>
        <w:pStyle w:val="TitleClause"/>
        <w:numPr>
          <w:ilvl w:val="0"/>
          <w:numId w:val="0"/>
        </w:numPr>
        <w:spacing w:before="0" w:after="0" w:line="20" w:lineRule="atLeast"/>
        <w:ind w:left="720"/>
        <w:rPr>
          <w:sz w:val="20"/>
        </w:rPr>
      </w:pPr>
    </w:p>
    <w:p w14:paraId="6017E3C1" w14:textId="60341B53" w:rsidR="00B8782F" w:rsidRDefault="00000000" w:rsidP="006D75F3">
      <w:pPr>
        <w:pStyle w:val="Untitledsubclause1"/>
        <w:spacing w:before="0" w:after="0" w:line="20" w:lineRule="atLeast"/>
        <w:rPr>
          <w:sz w:val="20"/>
        </w:rPr>
      </w:pPr>
      <w:bookmarkStart w:id="70" w:name="a257445"/>
      <w:r w:rsidRPr="006D75F3">
        <w:rPr>
          <w:sz w:val="20"/>
        </w:rPr>
        <w:t xml:space="preserve">The </w:t>
      </w:r>
      <w:proofErr w:type="spellStart"/>
      <w:r w:rsidRPr="006D75F3">
        <w:rPr>
          <w:sz w:val="20"/>
        </w:rPr>
        <w:t>SPoC</w:t>
      </w:r>
      <w:proofErr w:type="spellEnd"/>
      <w:r w:rsidRPr="006D75F3">
        <w:rPr>
          <w:sz w:val="20"/>
        </w:rPr>
        <w:t xml:space="preserve"> for each party is responsible for maintaining a record of Subject Rights Requests, the decisions made and any information that was exchanged. Records must include copies of the request for information, details of the data accessed and shared and where relevant, notes of any meeting, correspondence or phone calls relating to the request. The </w:t>
      </w:r>
      <w:proofErr w:type="spellStart"/>
      <w:r w:rsidRPr="006D75F3">
        <w:rPr>
          <w:sz w:val="20"/>
        </w:rPr>
        <w:t>SPoC</w:t>
      </w:r>
      <w:proofErr w:type="spellEnd"/>
      <w:r w:rsidRPr="006D75F3">
        <w:rPr>
          <w:sz w:val="20"/>
        </w:rPr>
        <w:t xml:space="preserve"> for each party are detailed in </w:t>
      </w:r>
      <w:r w:rsidRPr="006D75F3">
        <w:rPr>
          <w:sz w:val="20"/>
        </w:rPr>
        <w:fldChar w:fldCharType="begin"/>
      </w:r>
      <w:r w:rsidRPr="006D75F3">
        <w:rPr>
          <w:sz w:val="20"/>
        </w:rPr>
        <w:instrText>PAGEREF a832968\# "'clause '"  \h</w:instrText>
      </w:r>
      <w:r w:rsidRPr="006D75F3">
        <w:rPr>
          <w:sz w:val="20"/>
        </w:rPr>
      </w:r>
      <w:r w:rsidRPr="006D75F3">
        <w:rPr>
          <w:sz w:val="20"/>
        </w:rPr>
        <w:fldChar w:fldCharType="separate"/>
      </w:r>
      <w:r w:rsidRPr="006D75F3">
        <w:rPr>
          <w:sz w:val="20"/>
        </w:rPr>
        <w:t xml:space="preserve">clause </w:t>
      </w:r>
      <w:r w:rsidRPr="006D75F3">
        <w:rPr>
          <w:sz w:val="20"/>
        </w:rPr>
        <w:fldChar w:fldCharType="end"/>
      </w:r>
      <w:r w:rsidRPr="006D75F3">
        <w:rPr>
          <w:sz w:val="20"/>
        </w:rPr>
        <w:fldChar w:fldCharType="begin"/>
      </w:r>
      <w:r w:rsidRPr="006D75F3">
        <w:rPr>
          <w:sz w:val="20"/>
          <w:highlight w:val="lightGray"/>
        </w:rPr>
        <w:instrText>REF a832968 \h \w</w:instrText>
      </w:r>
      <w:r w:rsidR="00B8782F" w:rsidRPr="006D75F3">
        <w:rPr>
          <w:sz w:val="20"/>
        </w:rPr>
        <w:instrText xml:space="preserve"> \* MERGEFORMAT </w:instrText>
      </w:r>
      <w:r w:rsidRPr="006D75F3">
        <w:rPr>
          <w:sz w:val="20"/>
        </w:rPr>
      </w:r>
      <w:r w:rsidRPr="006D75F3">
        <w:rPr>
          <w:sz w:val="20"/>
        </w:rPr>
        <w:fldChar w:fldCharType="separate"/>
      </w:r>
      <w:r w:rsidRPr="006D75F3">
        <w:rPr>
          <w:sz w:val="20"/>
        </w:rPr>
        <w:t>2.4</w:t>
      </w:r>
      <w:r w:rsidRPr="006D75F3">
        <w:rPr>
          <w:sz w:val="20"/>
        </w:rPr>
        <w:fldChar w:fldCharType="end"/>
      </w:r>
      <w:r w:rsidRPr="006D75F3">
        <w:rPr>
          <w:sz w:val="20"/>
        </w:rPr>
        <w:t>.</w:t>
      </w:r>
      <w:bookmarkEnd w:id="70"/>
    </w:p>
    <w:p w14:paraId="7536F3E6" w14:textId="77777777" w:rsidR="00180C50" w:rsidRPr="006D75F3" w:rsidRDefault="00180C50" w:rsidP="00180C50">
      <w:pPr>
        <w:pStyle w:val="Untitledsubclause1"/>
        <w:numPr>
          <w:ilvl w:val="0"/>
          <w:numId w:val="0"/>
        </w:numPr>
        <w:spacing w:before="0" w:after="0" w:line="20" w:lineRule="atLeast"/>
        <w:ind w:left="720"/>
        <w:rPr>
          <w:sz w:val="20"/>
        </w:rPr>
      </w:pPr>
    </w:p>
    <w:p w14:paraId="4F1DBD52" w14:textId="5AC1C2FB" w:rsidR="00F96AC2" w:rsidRPr="006D75F3" w:rsidRDefault="00000000" w:rsidP="006D75F3">
      <w:pPr>
        <w:pStyle w:val="TitleClause"/>
        <w:spacing w:before="0" w:after="0" w:line="20" w:lineRule="atLeast"/>
        <w:rPr>
          <w:sz w:val="20"/>
        </w:rPr>
      </w:pPr>
      <w:r w:rsidRPr="006D75F3">
        <w:rPr>
          <w:sz w:val="20"/>
        </w:rPr>
        <w:lastRenderedPageBreak/>
        <w:fldChar w:fldCharType="begin"/>
      </w:r>
      <w:r w:rsidRPr="006D75F3">
        <w:rPr>
          <w:sz w:val="20"/>
        </w:rPr>
        <w:instrText>TC "8. Data retention and deletion" \l 1</w:instrText>
      </w:r>
      <w:r w:rsidRPr="006D75F3">
        <w:rPr>
          <w:sz w:val="20"/>
        </w:rPr>
        <w:fldChar w:fldCharType="end"/>
      </w:r>
      <w:bookmarkStart w:id="71" w:name="_Toc256000007"/>
      <w:bookmarkStart w:id="72" w:name="a851758"/>
      <w:r w:rsidR="00B8782F" w:rsidRPr="006D75F3">
        <w:rPr>
          <w:sz w:val="20"/>
        </w:rPr>
        <w:t>DATA RETENTION AND DELETION</w:t>
      </w:r>
      <w:bookmarkEnd w:id="71"/>
      <w:bookmarkEnd w:id="72"/>
    </w:p>
    <w:p w14:paraId="617587B2" w14:textId="77777777" w:rsidR="00B8782F" w:rsidRPr="006D75F3" w:rsidRDefault="00B8782F" w:rsidP="006D75F3">
      <w:pPr>
        <w:pStyle w:val="TitleClause"/>
        <w:numPr>
          <w:ilvl w:val="0"/>
          <w:numId w:val="0"/>
        </w:numPr>
        <w:spacing w:before="0" w:after="0" w:line="20" w:lineRule="atLeast"/>
        <w:ind w:left="720"/>
        <w:rPr>
          <w:sz w:val="20"/>
        </w:rPr>
      </w:pPr>
    </w:p>
    <w:p w14:paraId="42F4CD14" w14:textId="77777777" w:rsidR="00F96AC2" w:rsidRPr="006D75F3" w:rsidRDefault="00000000" w:rsidP="006D75F3">
      <w:pPr>
        <w:pStyle w:val="Untitledsubclause1"/>
        <w:spacing w:before="0" w:after="0" w:line="20" w:lineRule="atLeast"/>
        <w:rPr>
          <w:sz w:val="20"/>
        </w:rPr>
      </w:pPr>
      <w:bookmarkStart w:id="73" w:name="a464796"/>
      <w:r w:rsidRPr="006D75F3">
        <w:rPr>
          <w:sz w:val="20"/>
        </w:rPr>
        <w:t>The Data Receiver shall not retain or process Shared Personal Data for longer than is necessary to carry out the Agreed Purpose.</w:t>
      </w:r>
      <w:bookmarkEnd w:id="73"/>
    </w:p>
    <w:p w14:paraId="07CCB4D2" w14:textId="77777777" w:rsidR="00B8782F" w:rsidRPr="006D75F3" w:rsidRDefault="00B8782F" w:rsidP="006D75F3">
      <w:pPr>
        <w:pStyle w:val="Untitledsubclause1"/>
        <w:numPr>
          <w:ilvl w:val="0"/>
          <w:numId w:val="0"/>
        </w:numPr>
        <w:spacing w:before="0" w:after="0" w:line="20" w:lineRule="atLeast"/>
        <w:ind w:left="720"/>
        <w:rPr>
          <w:sz w:val="20"/>
        </w:rPr>
      </w:pPr>
    </w:p>
    <w:p w14:paraId="446C4D62" w14:textId="7AD892F8" w:rsidR="00F96AC2" w:rsidRPr="006D75F3" w:rsidRDefault="00000000" w:rsidP="006D75F3">
      <w:pPr>
        <w:pStyle w:val="Untitledsubclause1"/>
        <w:spacing w:before="0" w:after="0" w:line="20" w:lineRule="atLeast"/>
        <w:rPr>
          <w:sz w:val="20"/>
        </w:rPr>
      </w:pPr>
      <w:bookmarkStart w:id="74" w:name="a427996"/>
      <w:r w:rsidRPr="006D75F3">
        <w:rPr>
          <w:sz w:val="20"/>
        </w:rPr>
        <w:t xml:space="preserve">Notwithstanding </w:t>
      </w:r>
      <w:r w:rsidRPr="006D75F3">
        <w:rPr>
          <w:sz w:val="20"/>
        </w:rPr>
        <w:fldChar w:fldCharType="begin"/>
      </w:r>
      <w:r w:rsidRPr="006D75F3">
        <w:rPr>
          <w:sz w:val="20"/>
        </w:rPr>
        <w:instrText>PAGEREF a464796\# "'clause '"  \h</w:instrText>
      </w:r>
      <w:r w:rsidRPr="006D75F3">
        <w:rPr>
          <w:sz w:val="20"/>
        </w:rPr>
      </w:r>
      <w:r w:rsidRPr="006D75F3">
        <w:rPr>
          <w:sz w:val="20"/>
        </w:rPr>
        <w:fldChar w:fldCharType="separate"/>
      </w:r>
      <w:r w:rsidRPr="006D75F3">
        <w:rPr>
          <w:sz w:val="20"/>
        </w:rPr>
        <w:t xml:space="preserve">clause </w:t>
      </w:r>
      <w:r w:rsidRPr="006D75F3">
        <w:rPr>
          <w:sz w:val="20"/>
        </w:rPr>
        <w:fldChar w:fldCharType="end"/>
      </w:r>
      <w:r w:rsidRPr="006D75F3">
        <w:rPr>
          <w:sz w:val="20"/>
        </w:rPr>
        <w:fldChar w:fldCharType="begin"/>
      </w:r>
      <w:r w:rsidRPr="006D75F3">
        <w:rPr>
          <w:sz w:val="20"/>
          <w:highlight w:val="lightGray"/>
        </w:rPr>
        <w:instrText>REF a464796 \h \w</w:instrText>
      </w:r>
      <w:r w:rsidR="00B8782F" w:rsidRPr="006D75F3">
        <w:rPr>
          <w:sz w:val="20"/>
        </w:rPr>
        <w:instrText xml:space="preserve"> \* MERGEFORMAT </w:instrText>
      </w:r>
      <w:r w:rsidRPr="006D75F3">
        <w:rPr>
          <w:sz w:val="20"/>
        </w:rPr>
      </w:r>
      <w:r w:rsidRPr="006D75F3">
        <w:rPr>
          <w:sz w:val="20"/>
        </w:rPr>
        <w:fldChar w:fldCharType="separate"/>
      </w:r>
      <w:r w:rsidRPr="006D75F3">
        <w:rPr>
          <w:sz w:val="20"/>
        </w:rPr>
        <w:t>8.1</w:t>
      </w:r>
      <w:r w:rsidRPr="006D75F3">
        <w:rPr>
          <w:sz w:val="20"/>
        </w:rPr>
        <w:fldChar w:fldCharType="end"/>
      </w:r>
      <w:r w:rsidRPr="006D75F3">
        <w:rPr>
          <w:sz w:val="20"/>
        </w:rPr>
        <w:t>, parties shall continue to retain Shared Personal Data in accordance with any statutory or professional retention periods applicable in their respective countries and / or industry.</w:t>
      </w:r>
      <w:bookmarkEnd w:id="74"/>
    </w:p>
    <w:p w14:paraId="412DE81D" w14:textId="77777777" w:rsidR="00B8782F" w:rsidRPr="006D75F3" w:rsidRDefault="00B8782F" w:rsidP="006D75F3">
      <w:pPr>
        <w:pStyle w:val="Untitledsubclause1"/>
        <w:numPr>
          <w:ilvl w:val="0"/>
          <w:numId w:val="0"/>
        </w:numPr>
        <w:spacing w:before="0" w:after="0" w:line="20" w:lineRule="atLeast"/>
        <w:rPr>
          <w:sz w:val="20"/>
        </w:rPr>
      </w:pPr>
    </w:p>
    <w:p w14:paraId="09E18FA2" w14:textId="4A26A1EA" w:rsidR="00F96AC2" w:rsidRPr="006D75F3" w:rsidRDefault="00000000" w:rsidP="006D75F3">
      <w:pPr>
        <w:pStyle w:val="Untitledsubclause1"/>
        <w:spacing w:before="0" w:after="0" w:line="20" w:lineRule="atLeast"/>
        <w:rPr>
          <w:sz w:val="20"/>
        </w:rPr>
      </w:pPr>
      <w:bookmarkStart w:id="75" w:name="a730569"/>
      <w:r w:rsidRPr="006D75F3">
        <w:rPr>
          <w:sz w:val="20"/>
        </w:rPr>
        <w:t xml:space="preserve">The Data Receiver shall ensure that any Shared Personal Data is returned to the Data Discloser or destroyed in accordance with the agreed Deletion Procedure set out in </w:t>
      </w:r>
      <w:r w:rsidR="00D03EF2">
        <w:rPr>
          <w:sz w:val="20"/>
        </w:rPr>
        <w:t>Schedule 3</w:t>
      </w:r>
      <w:r w:rsidRPr="006D75F3">
        <w:rPr>
          <w:sz w:val="20"/>
        </w:rPr>
        <w:t xml:space="preserve"> in the following circumstances:</w:t>
      </w:r>
      <w:bookmarkEnd w:id="75"/>
    </w:p>
    <w:p w14:paraId="16070E44" w14:textId="77777777" w:rsidR="00B8782F" w:rsidRPr="006D75F3" w:rsidRDefault="00B8782F" w:rsidP="006D75F3">
      <w:pPr>
        <w:pStyle w:val="Untitledsubclause1"/>
        <w:numPr>
          <w:ilvl w:val="0"/>
          <w:numId w:val="0"/>
        </w:numPr>
        <w:spacing w:before="0" w:after="0" w:line="20" w:lineRule="atLeast"/>
        <w:ind w:left="720"/>
        <w:rPr>
          <w:sz w:val="20"/>
        </w:rPr>
      </w:pPr>
    </w:p>
    <w:p w14:paraId="2D4FE3F6" w14:textId="77777777" w:rsidR="00F96AC2" w:rsidRPr="006D75F3" w:rsidRDefault="00000000" w:rsidP="006D75F3">
      <w:pPr>
        <w:pStyle w:val="Untitledsubclause2"/>
        <w:spacing w:after="0" w:line="20" w:lineRule="atLeast"/>
        <w:rPr>
          <w:sz w:val="20"/>
        </w:rPr>
      </w:pPr>
      <w:bookmarkStart w:id="76" w:name="a297073"/>
      <w:r w:rsidRPr="006D75F3">
        <w:rPr>
          <w:sz w:val="20"/>
        </w:rPr>
        <w:t xml:space="preserve">on termination of its involvement in this </w:t>
      </w:r>
      <w:proofErr w:type="gramStart"/>
      <w:r w:rsidRPr="006D75F3">
        <w:rPr>
          <w:sz w:val="20"/>
        </w:rPr>
        <w:t>Agreement;</w:t>
      </w:r>
      <w:bookmarkEnd w:id="76"/>
      <w:proofErr w:type="gramEnd"/>
    </w:p>
    <w:p w14:paraId="4D638522" w14:textId="77777777" w:rsidR="00B8782F" w:rsidRPr="006D75F3" w:rsidRDefault="00B8782F" w:rsidP="006D75F3">
      <w:pPr>
        <w:pStyle w:val="Untitledsubclause2"/>
        <w:numPr>
          <w:ilvl w:val="0"/>
          <w:numId w:val="0"/>
        </w:numPr>
        <w:spacing w:after="0" w:line="20" w:lineRule="atLeast"/>
        <w:ind w:left="1555"/>
        <w:rPr>
          <w:sz w:val="20"/>
        </w:rPr>
      </w:pPr>
    </w:p>
    <w:p w14:paraId="6CE9315A" w14:textId="77777777" w:rsidR="00F96AC2" w:rsidRPr="006D75F3" w:rsidRDefault="00000000" w:rsidP="006D75F3">
      <w:pPr>
        <w:pStyle w:val="Untitledsubclause2"/>
        <w:spacing w:after="0" w:line="20" w:lineRule="atLeast"/>
        <w:rPr>
          <w:sz w:val="20"/>
        </w:rPr>
      </w:pPr>
      <w:bookmarkStart w:id="77" w:name="a386422"/>
      <w:r w:rsidRPr="006D75F3">
        <w:rPr>
          <w:sz w:val="20"/>
        </w:rPr>
        <w:t>on expiry of the Term of this Agreement; or</w:t>
      </w:r>
      <w:bookmarkEnd w:id="77"/>
    </w:p>
    <w:p w14:paraId="0396C4F4" w14:textId="77777777" w:rsidR="00B8782F" w:rsidRPr="006D75F3" w:rsidRDefault="00B8782F" w:rsidP="006D75F3">
      <w:pPr>
        <w:pStyle w:val="Untitledsubclause2"/>
        <w:numPr>
          <w:ilvl w:val="0"/>
          <w:numId w:val="0"/>
        </w:numPr>
        <w:spacing w:after="0" w:line="20" w:lineRule="atLeast"/>
        <w:rPr>
          <w:sz w:val="20"/>
        </w:rPr>
      </w:pPr>
    </w:p>
    <w:p w14:paraId="4917337E" w14:textId="3100E05C" w:rsidR="00F96AC2" w:rsidRPr="006D75F3" w:rsidRDefault="00000000" w:rsidP="006D75F3">
      <w:pPr>
        <w:pStyle w:val="Untitledsubclause2"/>
        <w:spacing w:after="0" w:line="20" w:lineRule="atLeast"/>
        <w:rPr>
          <w:sz w:val="20"/>
        </w:rPr>
      </w:pPr>
      <w:bookmarkStart w:id="78" w:name="a474586"/>
      <w:r w:rsidRPr="006D75F3">
        <w:rPr>
          <w:sz w:val="20"/>
        </w:rPr>
        <w:t xml:space="preserve">once Processing of the Shared Personal Data is no longer necessary for the purposes it was originally shared for, as set out in </w:t>
      </w:r>
      <w:r w:rsidRPr="006D75F3">
        <w:rPr>
          <w:sz w:val="20"/>
        </w:rPr>
        <w:fldChar w:fldCharType="begin"/>
      </w:r>
      <w:r w:rsidRPr="006D75F3">
        <w:rPr>
          <w:sz w:val="20"/>
        </w:rPr>
        <w:instrText>PAGEREF a601079\# "'clause '"  \h</w:instrText>
      </w:r>
      <w:r w:rsidRPr="006D75F3">
        <w:rPr>
          <w:sz w:val="20"/>
        </w:rPr>
      </w:r>
      <w:r w:rsidRPr="006D75F3">
        <w:rPr>
          <w:sz w:val="20"/>
        </w:rPr>
        <w:fldChar w:fldCharType="separate"/>
      </w:r>
      <w:r w:rsidRPr="006D75F3">
        <w:rPr>
          <w:sz w:val="20"/>
        </w:rPr>
        <w:t xml:space="preserve">clause </w:t>
      </w:r>
      <w:r w:rsidRPr="006D75F3">
        <w:rPr>
          <w:sz w:val="20"/>
        </w:rPr>
        <w:fldChar w:fldCharType="end"/>
      </w:r>
      <w:r w:rsidRPr="006D75F3">
        <w:rPr>
          <w:sz w:val="20"/>
        </w:rPr>
        <w:fldChar w:fldCharType="begin"/>
      </w:r>
      <w:r w:rsidRPr="006D75F3">
        <w:rPr>
          <w:sz w:val="20"/>
          <w:highlight w:val="lightGray"/>
        </w:rPr>
        <w:instrText>REF a601079 \h \w</w:instrText>
      </w:r>
      <w:r w:rsidR="00B8782F" w:rsidRPr="006D75F3">
        <w:rPr>
          <w:sz w:val="20"/>
        </w:rPr>
        <w:instrText xml:space="preserve"> \* MERGEFORMAT </w:instrText>
      </w:r>
      <w:r w:rsidRPr="006D75F3">
        <w:rPr>
          <w:sz w:val="20"/>
        </w:rPr>
      </w:r>
      <w:r w:rsidRPr="006D75F3">
        <w:rPr>
          <w:sz w:val="20"/>
        </w:rPr>
        <w:fldChar w:fldCharType="separate"/>
      </w:r>
      <w:r w:rsidRPr="006D75F3">
        <w:rPr>
          <w:sz w:val="20"/>
        </w:rPr>
        <w:t>2.3</w:t>
      </w:r>
      <w:r w:rsidRPr="006D75F3">
        <w:rPr>
          <w:sz w:val="20"/>
        </w:rPr>
        <w:fldChar w:fldCharType="end"/>
      </w:r>
      <w:r w:rsidRPr="006D75F3">
        <w:rPr>
          <w:sz w:val="20"/>
        </w:rPr>
        <w:t>.</w:t>
      </w:r>
      <w:bookmarkEnd w:id="78"/>
    </w:p>
    <w:p w14:paraId="5E9E59BF" w14:textId="77777777" w:rsidR="00B8782F" w:rsidRPr="006D75F3" w:rsidRDefault="00B8782F" w:rsidP="006D75F3">
      <w:pPr>
        <w:pStyle w:val="Untitledsubclause2"/>
        <w:numPr>
          <w:ilvl w:val="0"/>
          <w:numId w:val="0"/>
        </w:numPr>
        <w:spacing w:after="0" w:line="20" w:lineRule="atLeast"/>
        <w:rPr>
          <w:sz w:val="20"/>
        </w:rPr>
      </w:pPr>
    </w:p>
    <w:p w14:paraId="1A1F54E6" w14:textId="7ACF0EFB" w:rsidR="00F96AC2" w:rsidRPr="006D75F3" w:rsidRDefault="00000000" w:rsidP="006D75F3">
      <w:pPr>
        <w:pStyle w:val="Untitledsubclause1"/>
        <w:spacing w:before="0" w:after="0" w:line="20" w:lineRule="atLeast"/>
        <w:rPr>
          <w:sz w:val="20"/>
        </w:rPr>
      </w:pPr>
      <w:bookmarkStart w:id="79" w:name="a416690"/>
      <w:r w:rsidRPr="006D75F3">
        <w:rPr>
          <w:sz w:val="20"/>
        </w:rPr>
        <w:t xml:space="preserve">Following the deletion of Shared Personal Data in accordance with </w:t>
      </w:r>
      <w:r w:rsidRPr="006D75F3">
        <w:rPr>
          <w:sz w:val="20"/>
        </w:rPr>
        <w:fldChar w:fldCharType="begin"/>
      </w:r>
      <w:r w:rsidRPr="006D75F3">
        <w:rPr>
          <w:sz w:val="20"/>
        </w:rPr>
        <w:instrText>PAGEREF a730569\# "'clause '"  \h</w:instrText>
      </w:r>
      <w:r w:rsidRPr="006D75F3">
        <w:rPr>
          <w:sz w:val="20"/>
        </w:rPr>
      </w:r>
      <w:r w:rsidRPr="006D75F3">
        <w:rPr>
          <w:sz w:val="20"/>
        </w:rPr>
        <w:fldChar w:fldCharType="separate"/>
      </w:r>
      <w:r w:rsidRPr="006D75F3">
        <w:rPr>
          <w:sz w:val="20"/>
        </w:rPr>
        <w:t xml:space="preserve">clause </w:t>
      </w:r>
      <w:r w:rsidRPr="006D75F3">
        <w:rPr>
          <w:sz w:val="20"/>
        </w:rPr>
        <w:fldChar w:fldCharType="end"/>
      </w:r>
      <w:r w:rsidRPr="006D75F3">
        <w:rPr>
          <w:sz w:val="20"/>
        </w:rPr>
        <w:fldChar w:fldCharType="begin"/>
      </w:r>
      <w:r w:rsidRPr="006D75F3">
        <w:rPr>
          <w:sz w:val="20"/>
          <w:highlight w:val="lightGray"/>
        </w:rPr>
        <w:instrText>REF a730569 \h \w</w:instrText>
      </w:r>
      <w:r w:rsidR="00B8782F" w:rsidRPr="006D75F3">
        <w:rPr>
          <w:sz w:val="20"/>
        </w:rPr>
        <w:instrText xml:space="preserve"> \* MERGEFORMAT </w:instrText>
      </w:r>
      <w:r w:rsidRPr="006D75F3">
        <w:rPr>
          <w:sz w:val="20"/>
        </w:rPr>
      </w:r>
      <w:r w:rsidRPr="006D75F3">
        <w:rPr>
          <w:sz w:val="20"/>
        </w:rPr>
        <w:fldChar w:fldCharType="separate"/>
      </w:r>
      <w:r w:rsidRPr="006D75F3">
        <w:rPr>
          <w:sz w:val="20"/>
        </w:rPr>
        <w:t>8.3</w:t>
      </w:r>
      <w:r w:rsidRPr="006D75F3">
        <w:rPr>
          <w:sz w:val="20"/>
        </w:rPr>
        <w:fldChar w:fldCharType="end"/>
      </w:r>
      <w:r w:rsidRPr="006D75F3">
        <w:rPr>
          <w:sz w:val="20"/>
        </w:rPr>
        <w:t xml:space="preserve">, the Data Receiver shall notify the Data Discloser that the Shared Personal Data in question has been deleted in accordance with the Deletion Procedure in </w:t>
      </w:r>
      <w:r w:rsidR="00D03EF2">
        <w:rPr>
          <w:sz w:val="20"/>
        </w:rPr>
        <w:t>Schedule 3</w:t>
      </w:r>
      <w:r w:rsidRPr="006D75F3">
        <w:rPr>
          <w:sz w:val="20"/>
        </w:rPr>
        <w:t xml:space="preserve"> to this Agreement.</w:t>
      </w:r>
      <w:bookmarkEnd w:id="79"/>
    </w:p>
    <w:p w14:paraId="29763A06" w14:textId="77777777" w:rsidR="00B8782F" w:rsidRPr="006D75F3" w:rsidRDefault="00B8782F" w:rsidP="006D75F3">
      <w:pPr>
        <w:pStyle w:val="Untitledsubclause1"/>
        <w:numPr>
          <w:ilvl w:val="0"/>
          <w:numId w:val="0"/>
        </w:numPr>
        <w:spacing w:before="0" w:after="0" w:line="20" w:lineRule="atLeast"/>
        <w:ind w:left="720"/>
        <w:rPr>
          <w:sz w:val="20"/>
        </w:rPr>
      </w:pPr>
    </w:p>
    <w:p w14:paraId="3F08B327" w14:textId="0BDE0A9F"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"9. Transfers" \l 1</w:instrText>
      </w:r>
      <w:r w:rsidRPr="006D75F3">
        <w:rPr>
          <w:sz w:val="20"/>
        </w:rPr>
        <w:fldChar w:fldCharType="end"/>
      </w:r>
      <w:bookmarkStart w:id="80" w:name="_Toc256000008"/>
      <w:bookmarkStart w:id="81" w:name="a946998"/>
      <w:r w:rsidR="00B8782F" w:rsidRPr="006D75F3">
        <w:rPr>
          <w:sz w:val="20"/>
        </w:rPr>
        <w:t>TRANSFERS</w:t>
      </w:r>
      <w:bookmarkEnd w:id="80"/>
      <w:bookmarkEnd w:id="81"/>
    </w:p>
    <w:p w14:paraId="144091DD" w14:textId="77777777" w:rsidR="00B8782F" w:rsidRPr="006D75F3" w:rsidRDefault="00B8782F" w:rsidP="006D75F3">
      <w:pPr>
        <w:pStyle w:val="TitleClause"/>
        <w:numPr>
          <w:ilvl w:val="0"/>
          <w:numId w:val="0"/>
        </w:numPr>
        <w:spacing w:before="0" w:after="0" w:line="20" w:lineRule="atLeast"/>
        <w:ind w:left="720"/>
        <w:rPr>
          <w:sz w:val="20"/>
        </w:rPr>
      </w:pPr>
    </w:p>
    <w:p w14:paraId="4BCDB077" w14:textId="77777777" w:rsidR="00F96AC2" w:rsidRPr="006D75F3" w:rsidRDefault="00000000" w:rsidP="006D75F3">
      <w:pPr>
        <w:pStyle w:val="Untitledsubclause1"/>
        <w:spacing w:before="0" w:after="0" w:line="20" w:lineRule="atLeast"/>
        <w:rPr>
          <w:sz w:val="20"/>
        </w:rPr>
      </w:pPr>
      <w:bookmarkStart w:id="82" w:name="a636609"/>
      <w:r w:rsidRPr="006D75F3">
        <w:rPr>
          <w:sz w:val="20"/>
        </w:rPr>
        <w:t>For the purposes of this clause, transfers of Personal Data shall mean any sharing of Personal Data by the Data Receiver with a third party, and shall include the following:</w:t>
      </w:r>
      <w:bookmarkEnd w:id="82"/>
    </w:p>
    <w:p w14:paraId="1B10D8D2" w14:textId="77777777" w:rsidR="00B8782F" w:rsidRPr="006D75F3" w:rsidRDefault="00B8782F" w:rsidP="006D75F3">
      <w:pPr>
        <w:pStyle w:val="Untitledsubclause1"/>
        <w:numPr>
          <w:ilvl w:val="0"/>
          <w:numId w:val="0"/>
        </w:numPr>
        <w:spacing w:before="0" w:after="0" w:line="20" w:lineRule="atLeast"/>
        <w:ind w:left="720"/>
        <w:rPr>
          <w:sz w:val="20"/>
        </w:rPr>
      </w:pPr>
    </w:p>
    <w:p w14:paraId="2CF7A225" w14:textId="77777777" w:rsidR="00F96AC2" w:rsidRPr="006D75F3" w:rsidRDefault="00000000" w:rsidP="006D75F3">
      <w:pPr>
        <w:pStyle w:val="Untitledsubclause2"/>
        <w:spacing w:after="0" w:line="20" w:lineRule="atLeast"/>
        <w:rPr>
          <w:sz w:val="20"/>
        </w:rPr>
      </w:pPr>
      <w:bookmarkStart w:id="83" w:name="a959618"/>
      <w:r w:rsidRPr="006D75F3">
        <w:rPr>
          <w:sz w:val="20"/>
        </w:rPr>
        <w:t xml:space="preserve">subcontracting the processing of Shared Personal </w:t>
      </w:r>
      <w:proofErr w:type="gramStart"/>
      <w:r w:rsidRPr="006D75F3">
        <w:rPr>
          <w:sz w:val="20"/>
        </w:rPr>
        <w:t>Data;</w:t>
      </w:r>
      <w:bookmarkEnd w:id="83"/>
      <w:proofErr w:type="gramEnd"/>
    </w:p>
    <w:p w14:paraId="3DDB71B7" w14:textId="77777777" w:rsidR="00B8782F" w:rsidRPr="006D75F3" w:rsidRDefault="00B8782F" w:rsidP="006D75F3">
      <w:pPr>
        <w:pStyle w:val="Untitledsubclause2"/>
        <w:numPr>
          <w:ilvl w:val="0"/>
          <w:numId w:val="0"/>
        </w:numPr>
        <w:spacing w:after="0" w:line="20" w:lineRule="atLeast"/>
        <w:ind w:left="1555"/>
        <w:rPr>
          <w:sz w:val="20"/>
        </w:rPr>
      </w:pPr>
    </w:p>
    <w:p w14:paraId="331421E9" w14:textId="77777777" w:rsidR="00F96AC2" w:rsidRPr="006D75F3" w:rsidRDefault="00000000" w:rsidP="006D75F3">
      <w:pPr>
        <w:pStyle w:val="Untitledsubclause2"/>
        <w:spacing w:after="0" w:line="20" w:lineRule="atLeast"/>
        <w:rPr>
          <w:sz w:val="20"/>
        </w:rPr>
      </w:pPr>
      <w:bookmarkStart w:id="84" w:name="a588539"/>
      <w:r w:rsidRPr="006D75F3">
        <w:rPr>
          <w:sz w:val="20"/>
        </w:rPr>
        <w:t xml:space="preserve">granting a </w:t>
      </w:r>
      <w:proofErr w:type="gramStart"/>
      <w:r w:rsidRPr="006D75F3">
        <w:rPr>
          <w:sz w:val="20"/>
        </w:rPr>
        <w:t>third party</w:t>
      </w:r>
      <w:proofErr w:type="gramEnd"/>
      <w:r w:rsidRPr="006D75F3">
        <w:rPr>
          <w:sz w:val="20"/>
        </w:rPr>
        <w:t xml:space="preserve"> Controller access to the Shared Personal Data.</w:t>
      </w:r>
      <w:bookmarkEnd w:id="84"/>
    </w:p>
    <w:p w14:paraId="75C87787" w14:textId="77777777" w:rsidR="00B8782F" w:rsidRPr="006D75F3" w:rsidRDefault="00B8782F" w:rsidP="006D75F3">
      <w:pPr>
        <w:pStyle w:val="Untitledsubclause2"/>
        <w:numPr>
          <w:ilvl w:val="0"/>
          <w:numId w:val="0"/>
        </w:numPr>
        <w:spacing w:after="0" w:line="20" w:lineRule="atLeast"/>
        <w:rPr>
          <w:sz w:val="20"/>
        </w:rPr>
      </w:pPr>
    </w:p>
    <w:p w14:paraId="2665B187" w14:textId="77777777" w:rsidR="00F96AC2" w:rsidRPr="006D75F3" w:rsidRDefault="00000000" w:rsidP="006D75F3">
      <w:pPr>
        <w:pStyle w:val="Untitledsubclause1"/>
        <w:spacing w:before="0" w:after="0" w:line="20" w:lineRule="atLeast"/>
        <w:rPr>
          <w:sz w:val="20"/>
        </w:rPr>
      </w:pPr>
      <w:bookmarkStart w:id="85" w:name="a639977"/>
      <w:r w:rsidRPr="006D75F3">
        <w:rPr>
          <w:sz w:val="20"/>
        </w:rPr>
        <w:t xml:space="preserve">If the Data Receiver appoints a </w:t>
      </w:r>
      <w:proofErr w:type="gramStart"/>
      <w:r w:rsidRPr="006D75F3">
        <w:rPr>
          <w:sz w:val="20"/>
        </w:rPr>
        <w:t>third party</w:t>
      </w:r>
      <w:proofErr w:type="gramEnd"/>
      <w:r w:rsidRPr="006D75F3">
        <w:rPr>
          <w:sz w:val="20"/>
        </w:rPr>
        <w:t xml:space="preserve"> Processor to Process the Shared Personal Data it shall comply with the relevant provisions of the Data Protection Legislation and shall remain liable to the Data Discloser for the acts and/or omissions of the Processor.</w:t>
      </w:r>
      <w:bookmarkEnd w:id="85"/>
    </w:p>
    <w:p w14:paraId="1C824E57" w14:textId="77777777" w:rsidR="00B8782F" w:rsidRPr="006D75F3" w:rsidRDefault="00B8782F" w:rsidP="006D75F3">
      <w:pPr>
        <w:pStyle w:val="Untitledsubclause1"/>
        <w:numPr>
          <w:ilvl w:val="0"/>
          <w:numId w:val="0"/>
        </w:numPr>
        <w:spacing w:before="0" w:after="0" w:line="20" w:lineRule="atLeast"/>
        <w:ind w:left="720"/>
        <w:rPr>
          <w:sz w:val="20"/>
        </w:rPr>
      </w:pPr>
    </w:p>
    <w:p w14:paraId="26583F44" w14:textId="6B7BC2CB" w:rsidR="00F96AC2" w:rsidRPr="00180C50" w:rsidRDefault="00000000" w:rsidP="006D75F3">
      <w:pPr>
        <w:pStyle w:val="Untitledsubclause1"/>
        <w:spacing w:before="0" w:after="0" w:line="20" w:lineRule="atLeast"/>
        <w:rPr>
          <w:sz w:val="20"/>
        </w:rPr>
      </w:pPr>
      <w:bookmarkStart w:id="86" w:name="a971192"/>
      <w:r w:rsidRPr="00180C50">
        <w:rPr>
          <w:sz w:val="20"/>
        </w:rPr>
        <w:t xml:space="preserve">The Data Receiver may not transfer Shared Personal Data to a third party located outside the UK unless </w:t>
      </w:r>
      <w:proofErr w:type="gramStart"/>
      <w:r w:rsidRPr="00180C50">
        <w:rPr>
          <w:sz w:val="20"/>
        </w:rPr>
        <w:t>it;</w:t>
      </w:r>
      <w:bookmarkEnd w:id="86"/>
      <w:proofErr w:type="gramEnd"/>
    </w:p>
    <w:p w14:paraId="0D2EE060" w14:textId="77777777" w:rsidR="00B8782F" w:rsidRPr="00180C50" w:rsidRDefault="00B8782F" w:rsidP="006D75F3">
      <w:pPr>
        <w:pStyle w:val="Untitledsubclause1"/>
        <w:numPr>
          <w:ilvl w:val="0"/>
          <w:numId w:val="0"/>
        </w:numPr>
        <w:spacing w:before="0" w:after="0" w:line="20" w:lineRule="atLeast"/>
        <w:rPr>
          <w:sz w:val="20"/>
        </w:rPr>
      </w:pPr>
    </w:p>
    <w:p w14:paraId="227FE886" w14:textId="77777777" w:rsidR="00F96AC2" w:rsidRPr="00180C50" w:rsidRDefault="00000000" w:rsidP="006D75F3">
      <w:pPr>
        <w:pStyle w:val="Untitledsubclause2"/>
        <w:spacing w:after="0" w:line="20" w:lineRule="atLeast"/>
        <w:rPr>
          <w:sz w:val="20"/>
        </w:rPr>
      </w:pPr>
      <w:bookmarkStart w:id="87" w:name="a703797"/>
      <w:r w:rsidRPr="00180C50">
        <w:rPr>
          <w:sz w:val="20"/>
        </w:rPr>
        <w:t>complies with the provisions of the Data Protection Legislation in the event the third party is a joint controller; and</w:t>
      </w:r>
      <w:bookmarkEnd w:id="87"/>
    </w:p>
    <w:p w14:paraId="38B42A1A" w14:textId="77777777" w:rsidR="00B8782F" w:rsidRPr="00180C50" w:rsidRDefault="00B8782F" w:rsidP="006D75F3">
      <w:pPr>
        <w:pStyle w:val="Untitledsubclause2"/>
        <w:numPr>
          <w:ilvl w:val="0"/>
          <w:numId w:val="0"/>
        </w:numPr>
        <w:spacing w:after="0" w:line="20" w:lineRule="atLeast"/>
        <w:ind w:left="1555"/>
        <w:rPr>
          <w:sz w:val="20"/>
        </w:rPr>
      </w:pPr>
    </w:p>
    <w:p w14:paraId="200827D6" w14:textId="77777777" w:rsidR="00F96AC2" w:rsidRPr="00180C50" w:rsidRDefault="00000000" w:rsidP="006D75F3">
      <w:pPr>
        <w:pStyle w:val="Untitledsubclause2"/>
        <w:spacing w:after="0" w:line="20" w:lineRule="atLeast"/>
        <w:rPr>
          <w:sz w:val="20"/>
        </w:rPr>
      </w:pPr>
      <w:bookmarkStart w:id="88" w:name="a844074"/>
      <w:r w:rsidRPr="00180C50">
        <w:rPr>
          <w:sz w:val="20"/>
        </w:rPr>
        <w:t>ensures that (</w:t>
      </w:r>
      <w:proofErr w:type="spellStart"/>
      <w:r w:rsidRPr="00180C50">
        <w:rPr>
          <w:sz w:val="20"/>
        </w:rPr>
        <w:t>i</w:t>
      </w:r>
      <w:proofErr w:type="spellEnd"/>
      <w:r w:rsidRPr="00180C50">
        <w:rPr>
          <w:sz w:val="20"/>
        </w:rPr>
        <w:t>) the transfer is to a country approved under the applicable Data Protection Legislation as providing adequate protection; or (ii) there are appropriate safeguards or binding corporate rules in place pursuant to the applicable Data Protection Legislation; or (iii) the transferee otherwise complies with the Data Receiver's obligations under the applicable Data Protection Legislation by providing an adequate level of protection to any Shared Personal Data that is transferred; or (iv) one of the derogations for specific situations in the applicable Data Protection Legislation  applies to the transfer.</w:t>
      </w:r>
      <w:bookmarkEnd w:id="88"/>
    </w:p>
    <w:p w14:paraId="7E41EEDE" w14:textId="77777777" w:rsidR="00B8782F" w:rsidRPr="006D75F3" w:rsidRDefault="00B8782F" w:rsidP="006D75F3">
      <w:pPr>
        <w:pStyle w:val="Parasubclause1"/>
        <w:spacing w:before="0" w:after="0" w:line="20" w:lineRule="atLeast"/>
        <w:ind w:left="0"/>
        <w:rPr>
          <w:sz w:val="20"/>
        </w:rPr>
      </w:pPr>
    </w:p>
    <w:p w14:paraId="061FCC89" w14:textId="6BF7F376"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"10. Security and training" \l 1</w:instrText>
      </w:r>
      <w:r w:rsidRPr="006D75F3">
        <w:rPr>
          <w:sz w:val="20"/>
        </w:rPr>
        <w:fldChar w:fldCharType="end"/>
      </w:r>
      <w:bookmarkStart w:id="89" w:name="_Toc256000009"/>
      <w:bookmarkStart w:id="90" w:name="a507947"/>
      <w:r w:rsidR="00B8782F" w:rsidRPr="006D75F3">
        <w:rPr>
          <w:sz w:val="20"/>
        </w:rPr>
        <w:t>SECURITY AND TRAINING</w:t>
      </w:r>
      <w:bookmarkEnd w:id="89"/>
      <w:bookmarkEnd w:id="90"/>
    </w:p>
    <w:p w14:paraId="38C1F80D" w14:textId="77777777" w:rsidR="00B8782F" w:rsidRPr="006D75F3" w:rsidRDefault="00B8782F" w:rsidP="006D75F3">
      <w:pPr>
        <w:pStyle w:val="TitleClause"/>
        <w:numPr>
          <w:ilvl w:val="0"/>
          <w:numId w:val="0"/>
        </w:numPr>
        <w:spacing w:before="0" w:after="0" w:line="20" w:lineRule="atLeast"/>
        <w:ind w:left="720"/>
        <w:rPr>
          <w:sz w:val="20"/>
        </w:rPr>
      </w:pPr>
    </w:p>
    <w:p w14:paraId="0CF64FD5" w14:textId="29F960B3" w:rsidR="00F96AC2" w:rsidRPr="006D75F3" w:rsidRDefault="00000000" w:rsidP="006D75F3">
      <w:pPr>
        <w:pStyle w:val="Untitledsubclause1"/>
        <w:spacing w:before="0" w:after="0" w:line="20" w:lineRule="atLeast"/>
        <w:rPr>
          <w:sz w:val="20"/>
        </w:rPr>
      </w:pPr>
      <w:bookmarkStart w:id="91" w:name="a679595"/>
      <w:r w:rsidRPr="006D75F3">
        <w:rPr>
          <w:sz w:val="20"/>
        </w:rPr>
        <w:t xml:space="preserve">The Data Discloser shall only provide the Shared Personal Data to the Data Receiver by using secure methods as agreed and set out in </w:t>
      </w:r>
      <w:r w:rsidR="00C735A0">
        <w:rPr>
          <w:sz w:val="20"/>
        </w:rPr>
        <w:t>Schedule 4</w:t>
      </w:r>
      <w:r w:rsidRPr="006D75F3">
        <w:rPr>
          <w:sz w:val="20"/>
        </w:rPr>
        <w:t>.</w:t>
      </w:r>
      <w:bookmarkEnd w:id="91"/>
    </w:p>
    <w:p w14:paraId="1F617A78" w14:textId="77777777" w:rsidR="00B8782F" w:rsidRPr="006D75F3" w:rsidRDefault="00B8782F" w:rsidP="006D75F3">
      <w:pPr>
        <w:pStyle w:val="Untitledsubclause1"/>
        <w:numPr>
          <w:ilvl w:val="0"/>
          <w:numId w:val="0"/>
        </w:numPr>
        <w:spacing w:before="0" w:after="0" w:line="20" w:lineRule="atLeast"/>
        <w:ind w:left="720"/>
        <w:rPr>
          <w:sz w:val="20"/>
        </w:rPr>
      </w:pPr>
    </w:p>
    <w:p w14:paraId="60614A5C" w14:textId="77777777" w:rsidR="00F96AC2" w:rsidRPr="006D75F3" w:rsidRDefault="00000000" w:rsidP="006D75F3">
      <w:pPr>
        <w:pStyle w:val="Untitledsubclause1"/>
        <w:spacing w:before="0" w:after="0" w:line="20" w:lineRule="atLeast"/>
        <w:rPr>
          <w:sz w:val="20"/>
        </w:rPr>
      </w:pPr>
      <w:bookmarkStart w:id="92" w:name="a391762"/>
      <w:r w:rsidRPr="006D75F3">
        <w:rPr>
          <w:sz w:val="20"/>
        </w:rPr>
        <w:t>The parties undertake to have in place throughout the Term of this Agreement appropriate technical and organisational security measures to:</w:t>
      </w:r>
      <w:bookmarkEnd w:id="92"/>
    </w:p>
    <w:p w14:paraId="35C296B5" w14:textId="77777777" w:rsidR="00B8782F" w:rsidRPr="006D75F3" w:rsidRDefault="00B8782F" w:rsidP="006D75F3">
      <w:pPr>
        <w:pStyle w:val="Untitledsubclause1"/>
        <w:numPr>
          <w:ilvl w:val="0"/>
          <w:numId w:val="0"/>
        </w:numPr>
        <w:spacing w:before="0" w:after="0" w:line="20" w:lineRule="atLeast"/>
        <w:rPr>
          <w:sz w:val="20"/>
        </w:rPr>
      </w:pPr>
    </w:p>
    <w:p w14:paraId="0F6E9D2B" w14:textId="77777777" w:rsidR="00F96AC2" w:rsidRPr="006D75F3" w:rsidRDefault="00000000" w:rsidP="006D75F3">
      <w:pPr>
        <w:pStyle w:val="Untitledsubclause2"/>
        <w:spacing w:after="0" w:line="20" w:lineRule="atLeast"/>
        <w:rPr>
          <w:sz w:val="20"/>
        </w:rPr>
      </w:pPr>
      <w:bookmarkStart w:id="93" w:name="a985770"/>
      <w:r w:rsidRPr="006D75F3">
        <w:rPr>
          <w:sz w:val="20"/>
        </w:rPr>
        <w:t>prevent:</w:t>
      </w:r>
      <w:bookmarkEnd w:id="93"/>
    </w:p>
    <w:p w14:paraId="39955046" w14:textId="77777777" w:rsidR="00B8782F" w:rsidRPr="006D75F3" w:rsidRDefault="00B8782F" w:rsidP="006D75F3">
      <w:pPr>
        <w:pStyle w:val="Untitledsubclause2"/>
        <w:numPr>
          <w:ilvl w:val="0"/>
          <w:numId w:val="0"/>
        </w:numPr>
        <w:spacing w:after="0" w:line="20" w:lineRule="atLeast"/>
        <w:ind w:left="1555"/>
        <w:rPr>
          <w:sz w:val="20"/>
        </w:rPr>
      </w:pPr>
    </w:p>
    <w:p w14:paraId="219023C2" w14:textId="77777777" w:rsidR="00F96AC2" w:rsidRPr="006D75F3" w:rsidRDefault="00000000" w:rsidP="006D75F3">
      <w:pPr>
        <w:pStyle w:val="Untitledsubclause3"/>
        <w:spacing w:after="0" w:line="20" w:lineRule="atLeast"/>
        <w:rPr>
          <w:sz w:val="20"/>
        </w:rPr>
      </w:pPr>
      <w:bookmarkStart w:id="94" w:name="a184604"/>
      <w:r w:rsidRPr="006D75F3">
        <w:rPr>
          <w:sz w:val="20"/>
        </w:rPr>
        <w:t>unauthorised or unlawful processing of the Shared Personal Data; and</w:t>
      </w:r>
      <w:bookmarkEnd w:id="94"/>
    </w:p>
    <w:p w14:paraId="086C316A" w14:textId="77777777" w:rsidR="00B8782F" w:rsidRPr="006D75F3" w:rsidRDefault="00B8782F" w:rsidP="006D75F3">
      <w:pPr>
        <w:pStyle w:val="Untitledsubclause3"/>
        <w:numPr>
          <w:ilvl w:val="0"/>
          <w:numId w:val="0"/>
        </w:numPr>
        <w:spacing w:after="0" w:line="20" w:lineRule="atLeast"/>
        <w:ind w:left="2275"/>
        <w:rPr>
          <w:sz w:val="20"/>
        </w:rPr>
      </w:pPr>
    </w:p>
    <w:p w14:paraId="31B8989A" w14:textId="77777777" w:rsidR="00F96AC2" w:rsidRPr="006D75F3" w:rsidRDefault="00000000" w:rsidP="006D75F3">
      <w:pPr>
        <w:pStyle w:val="Untitledsubclause3"/>
        <w:spacing w:after="0" w:line="20" w:lineRule="atLeast"/>
        <w:rPr>
          <w:sz w:val="20"/>
        </w:rPr>
      </w:pPr>
      <w:bookmarkStart w:id="95" w:name="a907235"/>
      <w:r w:rsidRPr="006D75F3">
        <w:rPr>
          <w:sz w:val="20"/>
        </w:rPr>
        <w:t xml:space="preserve">the accidental loss or destruction of, or damage to, the Shared Personal Data </w:t>
      </w:r>
      <w:bookmarkEnd w:id="95"/>
    </w:p>
    <w:p w14:paraId="7930FC13" w14:textId="77777777" w:rsidR="00B8782F" w:rsidRPr="006D75F3" w:rsidRDefault="00B8782F" w:rsidP="006D75F3">
      <w:pPr>
        <w:pStyle w:val="Untitledsubclause3"/>
        <w:numPr>
          <w:ilvl w:val="0"/>
          <w:numId w:val="0"/>
        </w:numPr>
        <w:spacing w:after="0" w:line="20" w:lineRule="atLeast"/>
        <w:rPr>
          <w:sz w:val="20"/>
        </w:rPr>
      </w:pPr>
    </w:p>
    <w:p w14:paraId="11C31E98" w14:textId="77777777" w:rsidR="00F96AC2" w:rsidRPr="006D75F3" w:rsidRDefault="00000000" w:rsidP="006D75F3">
      <w:pPr>
        <w:pStyle w:val="Untitledsubclause2"/>
        <w:spacing w:after="0" w:line="20" w:lineRule="atLeast"/>
        <w:rPr>
          <w:sz w:val="20"/>
        </w:rPr>
      </w:pPr>
      <w:bookmarkStart w:id="96" w:name="a303189"/>
      <w:r w:rsidRPr="006D75F3">
        <w:rPr>
          <w:sz w:val="20"/>
        </w:rPr>
        <w:t>ensure a level of security appropriate to:</w:t>
      </w:r>
      <w:bookmarkEnd w:id="96"/>
    </w:p>
    <w:p w14:paraId="425425CA" w14:textId="77777777" w:rsidR="00B8782F" w:rsidRPr="006D75F3" w:rsidRDefault="00B8782F" w:rsidP="006D75F3">
      <w:pPr>
        <w:pStyle w:val="Untitledsubclause2"/>
        <w:numPr>
          <w:ilvl w:val="0"/>
          <w:numId w:val="0"/>
        </w:numPr>
        <w:spacing w:after="0" w:line="20" w:lineRule="atLeast"/>
        <w:ind w:left="1555"/>
        <w:rPr>
          <w:sz w:val="20"/>
        </w:rPr>
      </w:pPr>
    </w:p>
    <w:p w14:paraId="05796E1C" w14:textId="77777777" w:rsidR="00F96AC2" w:rsidRPr="006D75F3" w:rsidRDefault="00000000" w:rsidP="006D75F3">
      <w:pPr>
        <w:pStyle w:val="Untitledsubclause3"/>
        <w:spacing w:after="0" w:line="20" w:lineRule="atLeast"/>
        <w:rPr>
          <w:sz w:val="20"/>
        </w:rPr>
      </w:pPr>
      <w:bookmarkStart w:id="97" w:name="a793331"/>
      <w:r w:rsidRPr="006D75F3">
        <w:rPr>
          <w:sz w:val="20"/>
        </w:rPr>
        <w:t>the harm that might result from such unauthorised or unlawful processing or accidental loss, destruction or damage; and</w:t>
      </w:r>
      <w:bookmarkEnd w:id="97"/>
    </w:p>
    <w:p w14:paraId="30EF1308" w14:textId="77777777" w:rsidR="00B8782F" w:rsidRPr="006D75F3" w:rsidRDefault="00B8782F" w:rsidP="006D75F3">
      <w:pPr>
        <w:pStyle w:val="Untitledsubclause3"/>
        <w:numPr>
          <w:ilvl w:val="0"/>
          <w:numId w:val="0"/>
        </w:numPr>
        <w:spacing w:after="0" w:line="20" w:lineRule="atLeast"/>
        <w:ind w:left="2275"/>
        <w:rPr>
          <w:sz w:val="20"/>
        </w:rPr>
      </w:pPr>
    </w:p>
    <w:p w14:paraId="1E81E730" w14:textId="77777777" w:rsidR="00F96AC2" w:rsidRPr="006D75F3" w:rsidRDefault="00000000" w:rsidP="006D75F3">
      <w:pPr>
        <w:pStyle w:val="Untitledsubclause3"/>
        <w:spacing w:after="0" w:line="20" w:lineRule="atLeast"/>
        <w:rPr>
          <w:sz w:val="20"/>
        </w:rPr>
      </w:pPr>
      <w:bookmarkStart w:id="98" w:name="a140609"/>
      <w:r w:rsidRPr="006D75F3">
        <w:rPr>
          <w:sz w:val="20"/>
        </w:rPr>
        <w:t>the nature of the Shared Personal Data to be protected.</w:t>
      </w:r>
      <w:bookmarkEnd w:id="98"/>
    </w:p>
    <w:p w14:paraId="25398C3D" w14:textId="77777777" w:rsidR="00B8782F" w:rsidRPr="006D75F3" w:rsidRDefault="00B8782F" w:rsidP="006D75F3">
      <w:pPr>
        <w:pStyle w:val="Untitledsubclause3"/>
        <w:numPr>
          <w:ilvl w:val="0"/>
          <w:numId w:val="0"/>
        </w:numPr>
        <w:spacing w:after="0" w:line="20" w:lineRule="atLeast"/>
        <w:rPr>
          <w:sz w:val="20"/>
        </w:rPr>
      </w:pPr>
    </w:p>
    <w:p w14:paraId="788EED0F" w14:textId="6A2C53B1" w:rsidR="00F96AC2" w:rsidRPr="006D75F3" w:rsidRDefault="00000000" w:rsidP="006D75F3">
      <w:pPr>
        <w:pStyle w:val="Untitledsubclause1"/>
        <w:spacing w:before="0" w:after="0" w:line="20" w:lineRule="atLeast"/>
        <w:rPr>
          <w:sz w:val="20"/>
        </w:rPr>
      </w:pPr>
      <w:bookmarkStart w:id="99" w:name="a216858"/>
      <w:r w:rsidRPr="006D75F3">
        <w:rPr>
          <w:sz w:val="20"/>
        </w:rPr>
        <w:t xml:space="preserve">The level of technical and organisational measures agreed by the parties as appropriate as at the Commencement Date having regard to the state of technological development and the cost of implementing such measures is set out in </w:t>
      </w:r>
      <w:r w:rsidR="00C735A0">
        <w:rPr>
          <w:sz w:val="20"/>
        </w:rPr>
        <w:t>Schedule 4</w:t>
      </w:r>
      <w:r w:rsidRPr="006D75F3">
        <w:rPr>
          <w:sz w:val="20"/>
        </w:rPr>
        <w:t>. The parties shall keep such security measures under review and shall carry out such updates as they agree are appropriate throughout the Term of this Agreement.</w:t>
      </w:r>
      <w:bookmarkEnd w:id="99"/>
    </w:p>
    <w:p w14:paraId="3D063F47" w14:textId="77777777" w:rsidR="00B8782F" w:rsidRPr="006D75F3" w:rsidRDefault="00B8782F" w:rsidP="006D75F3">
      <w:pPr>
        <w:pStyle w:val="Untitledsubclause1"/>
        <w:numPr>
          <w:ilvl w:val="0"/>
          <w:numId w:val="0"/>
        </w:numPr>
        <w:spacing w:before="0" w:after="0" w:line="20" w:lineRule="atLeast"/>
        <w:ind w:left="720"/>
        <w:rPr>
          <w:sz w:val="20"/>
        </w:rPr>
      </w:pPr>
    </w:p>
    <w:p w14:paraId="1E294360" w14:textId="2A7B9C7B" w:rsidR="00F96AC2" w:rsidRPr="006D75F3" w:rsidRDefault="00000000" w:rsidP="006D75F3">
      <w:pPr>
        <w:pStyle w:val="Untitledsubclause1"/>
        <w:spacing w:before="0" w:after="0" w:line="20" w:lineRule="atLeast"/>
        <w:rPr>
          <w:sz w:val="20"/>
        </w:rPr>
      </w:pPr>
      <w:bookmarkStart w:id="100" w:name="a306049"/>
      <w:r w:rsidRPr="006D75F3">
        <w:rPr>
          <w:sz w:val="20"/>
        </w:rPr>
        <w:t xml:space="preserve">It is the responsibility of each party to ensure that its staff members are appropriately trained to handle and process the Shared Personal Data in accordance with the technical and organisational security measures set out in </w:t>
      </w:r>
      <w:r w:rsidR="00C735A0">
        <w:rPr>
          <w:sz w:val="20"/>
        </w:rPr>
        <w:t>Schedule 4</w:t>
      </w:r>
      <w:r w:rsidRPr="006D75F3">
        <w:rPr>
          <w:sz w:val="20"/>
        </w:rPr>
        <w:t xml:space="preserve"> together with any other applicable Data Protection Legislation and guidance</w:t>
      </w:r>
      <w:r w:rsidR="00B8782F" w:rsidRPr="006D75F3">
        <w:rPr>
          <w:sz w:val="20"/>
        </w:rPr>
        <w:t xml:space="preserve"> </w:t>
      </w:r>
      <w:r w:rsidRPr="006D75F3">
        <w:rPr>
          <w:sz w:val="20"/>
        </w:rPr>
        <w:t xml:space="preserve">and have entered into confidentiality agreements relating to the Processing of Personal Data. </w:t>
      </w:r>
      <w:bookmarkEnd w:id="100"/>
    </w:p>
    <w:p w14:paraId="2D03018A" w14:textId="77777777" w:rsidR="00B8782F" w:rsidRPr="006D75F3" w:rsidRDefault="00B8782F" w:rsidP="006D75F3">
      <w:pPr>
        <w:pStyle w:val="Untitledsubclause1"/>
        <w:numPr>
          <w:ilvl w:val="0"/>
          <w:numId w:val="0"/>
        </w:numPr>
        <w:spacing w:before="0" w:after="0" w:line="20" w:lineRule="atLeast"/>
        <w:rPr>
          <w:sz w:val="20"/>
        </w:rPr>
      </w:pPr>
    </w:p>
    <w:p w14:paraId="300A7525" w14:textId="563A1A18" w:rsidR="00F96AC2" w:rsidRPr="006D75F3" w:rsidRDefault="00000000" w:rsidP="006D75F3">
      <w:pPr>
        <w:pStyle w:val="Untitledsubclause1"/>
        <w:spacing w:before="0" w:after="0" w:line="20" w:lineRule="atLeast"/>
        <w:rPr>
          <w:sz w:val="20"/>
        </w:rPr>
      </w:pPr>
      <w:bookmarkStart w:id="101" w:name="a740006"/>
      <w:r w:rsidRPr="006D75F3">
        <w:rPr>
          <w:sz w:val="20"/>
        </w:rPr>
        <w:t xml:space="preserve">The level, content and regularity of training referred to in </w:t>
      </w:r>
      <w:r w:rsidRPr="006D75F3">
        <w:rPr>
          <w:sz w:val="20"/>
        </w:rPr>
        <w:fldChar w:fldCharType="begin"/>
      </w:r>
      <w:r w:rsidRPr="006D75F3">
        <w:rPr>
          <w:sz w:val="20"/>
        </w:rPr>
        <w:instrText>PAGEREF a306049\# "'clause '"  \h</w:instrText>
      </w:r>
      <w:r w:rsidRPr="006D75F3">
        <w:rPr>
          <w:sz w:val="20"/>
        </w:rPr>
      </w:r>
      <w:r w:rsidRPr="006D75F3">
        <w:rPr>
          <w:sz w:val="20"/>
        </w:rPr>
        <w:fldChar w:fldCharType="separate"/>
      </w:r>
      <w:r w:rsidRPr="006D75F3">
        <w:rPr>
          <w:sz w:val="20"/>
        </w:rPr>
        <w:t xml:space="preserve">clause </w:t>
      </w:r>
      <w:r w:rsidRPr="006D75F3">
        <w:rPr>
          <w:sz w:val="20"/>
        </w:rPr>
        <w:fldChar w:fldCharType="end"/>
      </w:r>
      <w:r w:rsidRPr="006D75F3">
        <w:rPr>
          <w:sz w:val="20"/>
        </w:rPr>
        <w:fldChar w:fldCharType="begin"/>
      </w:r>
      <w:r w:rsidRPr="006D75F3">
        <w:rPr>
          <w:sz w:val="20"/>
          <w:highlight w:val="lightGray"/>
        </w:rPr>
        <w:instrText>REF a306049 \h \w</w:instrText>
      </w:r>
      <w:r w:rsidR="00B8782F" w:rsidRPr="006D75F3">
        <w:rPr>
          <w:sz w:val="20"/>
        </w:rPr>
        <w:instrText xml:space="preserve"> \* MERGEFORMAT </w:instrText>
      </w:r>
      <w:r w:rsidRPr="006D75F3">
        <w:rPr>
          <w:sz w:val="20"/>
        </w:rPr>
      </w:r>
      <w:r w:rsidRPr="006D75F3">
        <w:rPr>
          <w:sz w:val="20"/>
        </w:rPr>
        <w:fldChar w:fldCharType="separate"/>
      </w:r>
      <w:r w:rsidRPr="006D75F3">
        <w:rPr>
          <w:sz w:val="20"/>
        </w:rPr>
        <w:t>10.4</w:t>
      </w:r>
      <w:r w:rsidRPr="006D75F3">
        <w:rPr>
          <w:sz w:val="20"/>
        </w:rPr>
        <w:fldChar w:fldCharType="end"/>
      </w:r>
      <w:r w:rsidRPr="006D75F3">
        <w:rPr>
          <w:rStyle w:val="Hyperlink"/>
          <w:sz w:val="20"/>
        </w:rPr>
        <w:t xml:space="preserve"> </w:t>
      </w:r>
      <w:r w:rsidRPr="006D75F3">
        <w:rPr>
          <w:sz w:val="20"/>
        </w:rPr>
        <w:t>shall be proportionate to the staff members' role, responsibility and frequency with respect to their handling and Processing of the Shared Personal Data.</w:t>
      </w:r>
      <w:bookmarkEnd w:id="101"/>
    </w:p>
    <w:p w14:paraId="7AA02842" w14:textId="77777777" w:rsidR="00B8782F" w:rsidRPr="006D75F3" w:rsidRDefault="00B8782F" w:rsidP="006D75F3">
      <w:pPr>
        <w:pStyle w:val="Untitledsubclause1"/>
        <w:numPr>
          <w:ilvl w:val="0"/>
          <w:numId w:val="0"/>
        </w:numPr>
        <w:spacing w:before="0" w:after="0" w:line="20" w:lineRule="atLeast"/>
        <w:rPr>
          <w:sz w:val="20"/>
        </w:rPr>
      </w:pPr>
    </w:p>
    <w:p w14:paraId="1C3CD9EB" w14:textId="6BC2829C"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"11. Personal data breaches and reporting procedures" \l 1</w:instrText>
      </w:r>
      <w:r w:rsidRPr="006D75F3">
        <w:rPr>
          <w:sz w:val="20"/>
        </w:rPr>
        <w:fldChar w:fldCharType="end"/>
      </w:r>
      <w:bookmarkStart w:id="102" w:name="_Toc256000010"/>
      <w:bookmarkStart w:id="103" w:name="a722906"/>
      <w:r w:rsidR="00B8782F" w:rsidRPr="006D75F3">
        <w:rPr>
          <w:sz w:val="20"/>
        </w:rPr>
        <w:t>PERSONAL DATA BREACHES AND REPORTING PROCEDURES</w:t>
      </w:r>
      <w:bookmarkEnd w:id="102"/>
      <w:bookmarkEnd w:id="103"/>
    </w:p>
    <w:p w14:paraId="1651C058" w14:textId="77777777" w:rsidR="00B8782F" w:rsidRPr="006D75F3" w:rsidRDefault="00B8782F" w:rsidP="006D75F3">
      <w:pPr>
        <w:pStyle w:val="TitleClause"/>
        <w:numPr>
          <w:ilvl w:val="0"/>
          <w:numId w:val="0"/>
        </w:numPr>
        <w:spacing w:before="0" w:after="0" w:line="20" w:lineRule="atLeast"/>
        <w:rPr>
          <w:sz w:val="20"/>
        </w:rPr>
      </w:pPr>
    </w:p>
    <w:p w14:paraId="6580DF2A" w14:textId="77777777" w:rsidR="00F96AC2" w:rsidRPr="006D75F3" w:rsidRDefault="00000000" w:rsidP="006D75F3">
      <w:pPr>
        <w:pStyle w:val="Untitledsubclause1"/>
        <w:spacing w:before="0" w:after="0" w:line="20" w:lineRule="atLeast"/>
        <w:rPr>
          <w:sz w:val="20"/>
        </w:rPr>
      </w:pPr>
      <w:bookmarkStart w:id="104" w:name="a966397"/>
      <w:r w:rsidRPr="006D75F3">
        <w:rPr>
          <w:sz w:val="20"/>
        </w:rPr>
        <w:t xml:space="preserve">The parties shall each comply with its obligation to report a Personal Data Breach to the Information Commissioner or appropriate Supervisory Authority and (where applicable) Data Subjects under the Data Protection Legislation and shall each inform the other party of any Personal Data Breach irrespective of whether there is a requirement to notify the Information Commissioner or any Supervisory Authority or Data Subject(s). </w:t>
      </w:r>
      <w:bookmarkEnd w:id="104"/>
    </w:p>
    <w:p w14:paraId="1DE0DA03" w14:textId="77777777" w:rsidR="00B8782F" w:rsidRPr="006D75F3" w:rsidRDefault="00B8782F" w:rsidP="006D75F3">
      <w:pPr>
        <w:pStyle w:val="Untitledsubclause1"/>
        <w:numPr>
          <w:ilvl w:val="0"/>
          <w:numId w:val="0"/>
        </w:numPr>
        <w:spacing w:before="0" w:after="0" w:line="20" w:lineRule="atLeast"/>
        <w:ind w:left="720"/>
        <w:rPr>
          <w:sz w:val="20"/>
        </w:rPr>
      </w:pPr>
    </w:p>
    <w:p w14:paraId="1BFE4373" w14:textId="77777777" w:rsidR="00F96AC2" w:rsidRPr="006D75F3" w:rsidRDefault="00000000" w:rsidP="006D75F3">
      <w:pPr>
        <w:pStyle w:val="Untitledsubclause1"/>
        <w:spacing w:before="0" w:after="0" w:line="20" w:lineRule="atLeast"/>
        <w:rPr>
          <w:sz w:val="20"/>
        </w:rPr>
      </w:pPr>
      <w:bookmarkStart w:id="105" w:name="a677792"/>
      <w:r w:rsidRPr="006D75F3">
        <w:rPr>
          <w:sz w:val="20"/>
        </w:rPr>
        <w:t>The parties agree to provide reasonable assistance as is necessary to each other to facilitate the handling of any Personal Data Breach in an expeditious and compliant manner.</w:t>
      </w:r>
      <w:bookmarkEnd w:id="105"/>
    </w:p>
    <w:p w14:paraId="0FE485E2" w14:textId="77777777" w:rsidR="00B8782F" w:rsidRPr="006D75F3" w:rsidRDefault="00B8782F" w:rsidP="006D75F3">
      <w:pPr>
        <w:pStyle w:val="Untitledsubclause1"/>
        <w:numPr>
          <w:ilvl w:val="0"/>
          <w:numId w:val="0"/>
        </w:numPr>
        <w:spacing w:before="0" w:after="0" w:line="20" w:lineRule="atLeast"/>
        <w:ind w:left="720"/>
        <w:rPr>
          <w:sz w:val="20"/>
        </w:rPr>
      </w:pPr>
    </w:p>
    <w:p w14:paraId="046E498E" w14:textId="755F5133"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"12. Review and termination of this Agreement" \l 1</w:instrText>
      </w:r>
      <w:r w:rsidRPr="006D75F3">
        <w:rPr>
          <w:sz w:val="20"/>
        </w:rPr>
        <w:fldChar w:fldCharType="end"/>
      </w:r>
      <w:bookmarkStart w:id="106" w:name="_Toc256000011"/>
      <w:bookmarkStart w:id="107" w:name="a890485"/>
      <w:r w:rsidR="00B8782F" w:rsidRPr="006D75F3">
        <w:rPr>
          <w:sz w:val="20"/>
        </w:rPr>
        <w:t>REVIEW AND TERMINATION OF THIS AGREEMENT</w:t>
      </w:r>
      <w:bookmarkEnd w:id="106"/>
      <w:bookmarkEnd w:id="107"/>
    </w:p>
    <w:p w14:paraId="0001B93B" w14:textId="77777777" w:rsidR="00B8782F" w:rsidRPr="006D75F3" w:rsidRDefault="00B8782F" w:rsidP="006D75F3">
      <w:pPr>
        <w:pStyle w:val="TitleClause"/>
        <w:numPr>
          <w:ilvl w:val="0"/>
          <w:numId w:val="0"/>
        </w:numPr>
        <w:spacing w:before="0" w:after="0" w:line="20" w:lineRule="atLeast"/>
        <w:ind w:left="720"/>
        <w:rPr>
          <w:sz w:val="20"/>
        </w:rPr>
      </w:pPr>
    </w:p>
    <w:p w14:paraId="16087799" w14:textId="62B79F55" w:rsidR="00F96AC2" w:rsidRPr="006D75F3" w:rsidRDefault="00000000" w:rsidP="006D75F3">
      <w:pPr>
        <w:pStyle w:val="Untitledsubclause1"/>
        <w:spacing w:before="0" w:after="0" w:line="20" w:lineRule="atLeast"/>
        <w:rPr>
          <w:sz w:val="20"/>
        </w:rPr>
      </w:pPr>
      <w:bookmarkStart w:id="108" w:name="a842683"/>
      <w:r w:rsidRPr="006D75F3">
        <w:rPr>
          <w:sz w:val="20"/>
        </w:rPr>
        <w:t xml:space="preserve">Any additional Data Receiver that wishes to be part of this data sharing initiative and Agreement shall complete and submit a data sharing request form, as set out in </w:t>
      </w:r>
      <w:r w:rsidR="00C735A0">
        <w:rPr>
          <w:sz w:val="20"/>
        </w:rPr>
        <w:t>Schedule 5</w:t>
      </w:r>
      <w:r w:rsidRPr="006D75F3">
        <w:rPr>
          <w:sz w:val="20"/>
        </w:rPr>
        <w:t xml:space="preserve">. Each party must then complete and submit a data sharing decision form, as set out in </w:t>
      </w:r>
      <w:r w:rsidR="00C735A0">
        <w:rPr>
          <w:sz w:val="20"/>
        </w:rPr>
        <w:t>Schedule 6</w:t>
      </w:r>
      <w:r w:rsidRPr="006D75F3">
        <w:rPr>
          <w:sz w:val="20"/>
        </w:rPr>
        <w:t>. The consent of every party is required in order that the additional party be included into this Agreement.</w:t>
      </w:r>
      <w:bookmarkEnd w:id="108"/>
    </w:p>
    <w:p w14:paraId="778745F8" w14:textId="77777777" w:rsidR="00B8782F" w:rsidRPr="006D75F3" w:rsidRDefault="00B8782F" w:rsidP="006D75F3">
      <w:pPr>
        <w:pStyle w:val="Untitledsubclause1"/>
        <w:numPr>
          <w:ilvl w:val="0"/>
          <w:numId w:val="0"/>
        </w:numPr>
        <w:spacing w:before="0" w:after="0" w:line="20" w:lineRule="atLeast"/>
        <w:ind w:left="720"/>
        <w:rPr>
          <w:sz w:val="20"/>
        </w:rPr>
      </w:pPr>
    </w:p>
    <w:p w14:paraId="5DE0E619" w14:textId="12D7D41D" w:rsidR="00F96AC2" w:rsidRPr="006D75F3" w:rsidRDefault="00000000" w:rsidP="006D75F3">
      <w:pPr>
        <w:pStyle w:val="Untitledsubclause1"/>
        <w:spacing w:before="0" w:after="0" w:line="20" w:lineRule="atLeast"/>
        <w:rPr>
          <w:sz w:val="20"/>
        </w:rPr>
      </w:pPr>
      <w:bookmarkStart w:id="109" w:name="a873733"/>
      <w:r w:rsidRPr="006D75F3">
        <w:rPr>
          <w:sz w:val="20"/>
        </w:rPr>
        <w:t xml:space="preserve">In the event that a party terminates its involvement in this Agreement or a new Data Receiver joins the Agreement in accordance with </w:t>
      </w:r>
      <w:r w:rsidRPr="006D75F3">
        <w:rPr>
          <w:sz w:val="20"/>
        </w:rPr>
        <w:fldChar w:fldCharType="begin"/>
      </w:r>
      <w:r w:rsidRPr="006D75F3">
        <w:rPr>
          <w:sz w:val="20"/>
        </w:rPr>
        <w:instrText>PAGEREF a842683\# "'clause '"  \h</w:instrText>
      </w:r>
      <w:r w:rsidRPr="006D75F3">
        <w:rPr>
          <w:sz w:val="20"/>
        </w:rPr>
      </w:r>
      <w:r w:rsidRPr="006D75F3">
        <w:rPr>
          <w:sz w:val="20"/>
        </w:rPr>
        <w:fldChar w:fldCharType="separate"/>
      </w:r>
      <w:r w:rsidRPr="006D75F3">
        <w:rPr>
          <w:sz w:val="20"/>
        </w:rPr>
        <w:t xml:space="preserve">clause </w:t>
      </w:r>
      <w:r w:rsidRPr="006D75F3">
        <w:rPr>
          <w:sz w:val="20"/>
        </w:rPr>
        <w:fldChar w:fldCharType="end"/>
      </w:r>
      <w:r w:rsidRPr="006D75F3">
        <w:rPr>
          <w:sz w:val="20"/>
        </w:rPr>
        <w:fldChar w:fldCharType="begin"/>
      </w:r>
      <w:r w:rsidRPr="006D75F3">
        <w:rPr>
          <w:sz w:val="20"/>
          <w:highlight w:val="lightGray"/>
        </w:rPr>
        <w:instrText>REF a842683 \h \w</w:instrText>
      </w:r>
      <w:r w:rsidR="00B8782F" w:rsidRPr="006D75F3">
        <w:rPr>
          <w:sz w:val="20"/>
        </w:rPr>
        <w:instrText xml:space="preserve"> \* MERGEFORMAT </w:instrText>
      </w:r>
      <w:r w:rsidRPr="006D75F3">
        <w:rPr>
          <w:sz w:val="20"/>
        </w:rPr>
      </w:r>
      <w:r w:rsidRPr="006D75F3">
        <w:rPr>
          <w:sz w:val="20"/>
        </w:rPr>
        <w:fldChar w:fldCharType="separate"/>
      </w:r>
      <w:r w:rsidRPr="006D75F3">
        <w:rPr>
          <w:sz w:val="20"/>
        </w:rPr>
        <w:t>12.1</w:t>
      </w:r>
      <w:r w:rsidRPr="006D75F3">
        <w:rPr>
          <w:sz w:val="20"/>
        </w:rPr>
        <w:fldChar w:fldCharType="end"/>
      </w:r>
      <w:r w:rsidRPr="006D75F3">
        <w:rPr>
          <w:sz w:val="20"/>
        </w:rPr>
        <w:t>, an amended and updated version of this Agreement will be drafted as soon as practicable and circulated to all other parties.</w:t>
      </w:r>
      <w:bookmarkEnd w:id="109"/>
    </w:p>
    <w:p w14:paraId="343D74F2" w14:textId="77777777" w:rsidR="00B8782F" w:rsidRPr="006D75F3" w:rsidRDefault="00B8782F" w:rsidP="006D75F3">
      <w:pPr>
        <w:pStyle w:val="Untitledsubclause1"/>
        <w:numPr>
          <w:ilvl w:val="0"/>
          <w:numId w:val="0"/>
        </w:numPr>
        <w:spacing w:before="0" w:after="0" w:line="20" w:lineRule="atLeast"/>
        <w:rPr>
          <w:sz w:val="20"/>
        </w:rPr>
      </w:pPr>
    </w:p>
    <w:p w14:paraId="17E82BCB" w14:textId="71C24B4B" w:rsidR="00F96AC2" w:rsidRPr="006D75F3" w:rsidRDefault="00000000" w:rsidP="006D75F3">
      <w:pPr>
        <w:pStyle w:val="Untitledsubclause1"/>
        <w:spacing w:before="0" w:after="0" w:line="20" w:lineRule="atLeast"/>
        <w:rPr>
          <w:sz w:val="20"/>
        </w:rPr>
      </w:pPr>
      <w:bookmarkStart w:id="110" w:name="a666221"/>
      <w:r w:rsidRPr="006D75F3">
        <w:rPr>
          <w:sz w:val="20"/>
        </w:rPr>
        <w:t xml:space="preserve">The parties shall review the effectiveness of this data sharing initiative every </w:t>
      </w:r>
      <w:r w:rsidR="00180C50">
        <w:rPr>
          <w:sz w:val="20"/>
        </w:rPr>
        <w:t>six (6)</w:t>
      </w:r>
      <w:r w:rsidRPr="006D75F3">
        <w:rPr>
          <w:sz w:val="20"/>
        </w:rPr>
        <w:t xml:space="preserve"> months and on the addition and removal of a party, having consideration to the aims and purposes set out in </w:t>
      </w:r>
      <w:r w:rsidRPr="006D75F3">
        <w:rPr>
          <w:sz w:val="20"/>
        </w:rPr>
        <w:fldChar w:fldCharType="begin"/>
      </w:r>
      <w:r w:rsidRPr="006D75F3">
        <w:rPr>
          <w:sz w:val="20"/>
        </w:rPr>
        <w:instrText>PAGEREF a996554\# "'clause '"  \h</w:instrText>
      </w:r>
      <w:r w:rsidRPr="006D75F3">
        <w:rPr>
          <w:sz w:val="20"/>
        </w:rPr>
      </w:r>
      <w:r w:rsidRPr="006D75F3">
        <w:rPr>
          <w:sz w:val="20"/>
        </w:rPr>
        <w:fldChar w:fldCharType="separate"/>
      </w:r>
      <w:r w:rsidRPr="006D75F3">
        <w:rPr>
          <w:sz w:val="20"/>
        </w:rPr>
        <w:t xml:space="preserve">clause </w:t>
      </w:r>
      <w:r w:rsidRPr="006D75F3">
        <w:rPr>
          <w:sz w:val="20"/>
        </w:rPr>
        <w:fldChar w:fldCharType="end"/>
      </w:r>
      <w:r w:rsidRPr="006D75F3">
        <w:rPr>
          <w:sz w:val="20"/>
        </w:rPr>
        <w:fldChar w:fldCharType="begin"/>
      </w:r>
      <w:r w:rsidRPr="006D75F3">
        <w:rPr>
          <w:sz w:val="20"/>
          <w:highlight w:val="lightGray"/>
        </w:rPr>
        <w:instrText>REF a996554 \h \w</w:instrText>
      </w:r>
      <w:r w:rsidR="00B8782F" w:rsidRPr="006D75F3">
        <w:rPr>
          <w:sz w:val="20"/>
        </w:rPr>
        <w:instrText xml:space="preserve"> \* MERGEFORMAT </w:instrText>
      </w:r>
      <w:r w:rsidRPr="006D75F3">
        <w:rPr>
          <w:sz w:val="20"/>
        </w:rPr>
      </w:r>
      <w:r w:rsidRPr="006D75F3">
        <w:rPr>
          <w:sz w:val="20"/>
        </w:rPr>
        <w:fldChar w:fldCharType="separate"/>
      </w:r>
      <w:r w:rsidRPr="006D75F3">
        <w:rPr>
          <w:sz w:val="20"/>
        </w:rPr>
        <w:t>2.2</w:t>
      </w:r>
      <w:r w:rsidRPr="006D75F3">
        <w:rPr>
          <w:sz w:val="20"/>
        </w:rPr>
        <w:fldChar w:fldCharType="end"/>
      </w:r>
      <w:r w:rsidRPr="006D75F3">
        <w:rPr>
          <w:sz w:val="20"/>
        </w:rPr>
        <w:t xml:space="preserve"> and </w:t>
      </w:r>
      <w:r w:rsidRPr="006D75F3">
        <w:rPr>
          <w:sz w:val="20"/>
        </w:rPr>
        <w:fldChar w:fldCharType="begin"/>
      </w:r>
      <w:r w:rsidRPr="006D75F3">
        <w:rPr>
          <w:sz w:val="20"/>
        </w:rPr>
        <w:instrText>PAGEREF a601079\# "'clause '"  \h</w:instrText>
      </w:r>
      <w:r w:rsidRPr="006D75F3">
        <w:rPr>
          <w:sz w:val="20"/>
        </w:rPr>
      </w:r>
      <w:r w:rsidRPr="006D75F3">
        <w:rPr>
          <w:sz w:val="20"/>
        </w:rPr>
        <w:fldChar w:fldCharType="separate"/>
      </w:r>
      <w:r w:rsidRPr="006D75F3">
        <w:rPr>
          <w:sz w:val="20"/>
        </w:rPr>
        <w:t xml:space="preserve">clause </w:t>
      </w:r>
      <w:r w:rsidRPr="006D75F3">
        <w:rPr>
          <w:sz w:val="20"/>
        </w:rPr>
        <w:fldChar w:fldCharType="end"/>
      </w:r>
      <w:r w:rsidRPr="006D75F3">
        <w:rPr>
          <w:sz w:val="20"/>
        </w:rPr>
        <w:fldChar w:fldCharType="begin"/>
      </w:r>
      <w:r w:rsidRPr="006D75F3">
        <w:rPr>
          <w:sz w:val="20"/>
          <w:highlight w:val="lightGray"/>
        </w:rPr>
        <w:instrText>REF a601079 \h \w</w:instrText>
      </w:r>
      <w:r w:rsidR="00B8782F" w:rsidRPr="006D75F3">
        <w:rPr>
          <w:sz w:val="20"/>
        </w:rPr>
        <w:instrText xml:space="preserve"> \* MERGEFORMAT </w:instrText>
      </w:r>
      <w:r w:rsidRPr="006D75F3">
        <w:rPr>
          <w:sz w:val="20"/>
        </w:rPr>
      </w:r>
      <w:r w:rsidRPr="006D75F3">
        <w:rPr>
          <w:sz w:val="20"/>
        </w:rPr>
        <w:fldChar w:fldCharType="separate"/>
      </w:r>
      <w:r w:rsidRPr="006D75F3">
        <w:rPr>
          <w:sz w:val="20"/>
        </w:rPr>
        <w:t>2.3</w:t>
      </w:r>
      <w:r w:rsidRPr="006D75F3">
        <w:rPr>
          <w:sz w:val="20"/>
        </w:rPr>
        <w:fldChar w:fldCharType="end"/>
      </w:r>
      <w:r w:rsidRPr="006D75F3">
        <w:rPr>
          <w:sz w:val="20"/>
        </w:rPr>
        <w:t>. The parties shall continue, amend or terminate this Agreement depending on the outcome of this review.</w:t>
      </w:r>
      <w:bookmarkEnd w:id="110"/>
    </w:p>
    <w:p w14:paraId="40E4D500" w14:textId="77777777" w:rsidR="00F96AC2" w:rsidRPr="006D75F3" w:rsidRDefault="00000000" w:rsidP="006D75F3">
      <w:pPr>
        <w:pStyle w:val="Untitledsubclause1"/>
        <w:spacing w:before="0" w:after="0" w:line="20" w:lineRule="atLeast"/>
        <w:rPr>
          <w:sz w:val="20"/>
        </w:rPr>
      </w:pPr>
      <w:bookmarkStart w:id="111" w:name="a859414"/>
      <w:r w:rsidRPr="006D75F3">
        <w:rPr>
          <w:sz w:val="20"/>
        </w:rPr>
        <w:t>The review of the effectiveness of the data sharing initiative will involve:</w:t>
      </w:r>
      <w:bookmarkEnd w:id="111"/>
    </w:p>
    <w:p w14:paraId="08FFF6EF" w14:textId="77777777" w:rsidR="00B8782F" w:rsidRPr="006D75F3" w:rsidRDefault="00B8782F" w:rsidP="006D75F3">
      <w:pPr>
        <w:pStyle w:val="Untitledsubclause1"/>
        <w:numPr>
          <w:ilvl w:val="0"/>
          <w:numId w:val="0"/>
        </w:numPr>
        <w:spacing w:before="0" w:after="0" w:line="20" w:lineRule="atLeast"/>
        <w:ind w:left="720"/>
        <w:rPr>
          <w:sz w:val="20"/>
        </w:rPr>
      </w:pPr>
    </w:p>
    <w:p w14:paraId="25CC3B11" w14:textId="789EB0F3" w:rsidR="00F96AC2" w:rsidRPr="006D75F3" w:rsidRDefault="00000000" w:rsidP="006D75F3">
      <w:pPr>
        <w:pStyle w:val="Untitledsubclause2"/>
        <w:spacing w:after="0" w:line="20" w:lineRule="atLeast"/>
        <w:rPr>
          <w:sz w:val="20"/>
        </w:rPr>
      </w:pPr>
      <w:bookmarkStart w:id="112" w:name="a190360"/>
      <w:r w:rsidRPr="006D75F3">
        <w:rPr>
          <w:sz w:val="20"/>
        </w:rPr>
        <w:t xml:space="preserve">assessing whether the purposes for which the Shared Personal Data is being processed are still the ones listed in </w:t>
      </w:r>
      <w:r w:rsidRPr="006D75F3">
        <w:rPr>
          <w:sz w:val="20"/>
        </w:rPr>
        <w:fldChar w:fldCharType="begin"/>
      </w:r>
      <w:r w:rsidRPr="006D75F3">
        <w:rPr>
          <w:sz w:val="20"/>
        </w:rPr>
        <w:instrText>PAGEREF a832968\# "'clause '"  \h</w:instrText>
      </w:r>
      <w:r w:rsidRPr="006D75F3">
        <w:rPr>
          <w:sz w:val="20"/>
        </w:rPr>
      </w:r>
      <w:r w:rsidRPr="006D75F3">
        <w:rPr>
          <w:sz w:val="20"/>
        </w:rPr>
        <w:fldChar w:fldCharType="separate"/>
      </w:r>
      <w:r w:rsidRPr="006D75F3">
        <w:rPr>
          <w:sz w:val="20"/>
        </w:rPr>
        <w:t xml:space="preserve">clause </w:t>
      </w:r>
      <w:r w:rsidRPr="006D75F3">
        <w:rPr>
          <w:sz w:val="20"/>
        </w:rPr>
        <w:fldChar w:fldCharType="end"/>
      </w:r>
      <w:r w:rsidRPr="006D75F3">
        <w:rPr>
          <w:sz w:val="20"/>
        </w:rPr>
        <w:fldChar w:fldCharType="begin"/>
      </w:r>
      <w:r w:rsidRPr="006D75F3">
        <w:rPr>
          <w:sz w:val="20"/>
          <w:highlight w:val="lightGray"/>
        </w:rPr>
        <w:instrText>REF a832968 \h \w</w:instrText>
      </w:r>
      <w:r w:rsidR="00B8782F" w:rsidRPr="006D75F3">
        <w:rPr>
          <w:sz w:val="20"/>
        </w:rPr>
        <w:instrText xml:space="preserve"> \* MERGEFORMAT </w:instrText>
      </w:r>
      <w:r w:rsidRPr="006D75F3">
        <w:rPr>
          <w:sz w:val="20"/>
        </w:rPr>
      </w:r>
      <w:r w:rsidRPr="006D75F3">
        <w:rPr>
          <w:sz w:val="20"/>
        </w:rPr>
        <w:fldChar w:fldCharType="separate"/>
      </w:r>
      <w:r w:rsidRPr="006D75F3">
        <w:rPr>
          <w:sz w:val="20"/>
        </w:rPr>
        <w:t>2.4</w:t>
      </w:r>
      <w:r w:rsidRPr="006D75F3">
        <w:rPr>
          <w:sz w:val="20"/>
        </w:rPr>
        <w:fldChar w:fldCharType="end"/>
      </w:r>
      <w:r w:rsidRPr="006D75F3">
        <w:rPr>
          <w:sz w:val="20"/>
        </w:rPr>
        <w:t xml:space="preserve"> of this Agreement;</w:t>
      </w:r>
      <w:bookmarkEnd w:id="112"/>
    </w:p>
    <w:p w14:paraId="443106C6" w14:textId="77777777" w:rsidR="00B8782F" w:rsidRPr="006D75F3" w:rsidRDefault="00B8782F" w:rsidP="006D75F3">
      <w:pPr>
        <w:pStyle w:val="Untitledsubclause2"/>
        <w:numPr>
          <w:ilvl w:val="0"/>
          <w:numId w:val="0"/>
        </w:numPr>
        <w:spacing w:after="0" w:line="20" w:lineRule="atLeast"/>
        <w:ind w:left="1555"/>
        <w:rPr>
          <w:sz w:val="20"/>
        </w:rPr>
      </w:pPr>
    </w:p>
    <w:p w14:paraId="2702BB64" w14:textId="069B5D42" w:rsidR="00F96AC2" w:rsidRPr="00180C50" w:rsidRDefault="00000000" w:rsidP="006D75F3">
      <w:pPr>
        <w:pStyle w:val="Untitledsubclause2"/>
        <w:spacing w:after="0" w:line="20" w:lineRule="atLeast"/>
        <w:rPr>
          <w:sz w:val="20"/>
        </w:rPr>
      </w:pPr>
      <w:bookmarkStart w:id="113" w:name="a594475"/>
      <w:r w:rsidRPr="0018528C">
        <w:rPr>
          <w:sz w:val="20"/>
        </w:rPr>
        <w:t xml:space="preserve">assessing whether the Shared Personal Data is still as listed in </w:t>
      </w:r>
      <w:r w:rsidRPr="0018528C">
        <w:rPr>
          <w:sz w:val="20"/>
        </w:rPr>
        <w:fldChar w:fldCharType="begin"/>
      </w:r>
      <w:r w:rsidRPr="0018528C">
        <w:rPr>
          <w:sz w:val="20"/>
        </w:rPr>
        <w:instrText>PAGEREF a720125\# "'clause '"  \h</w:instrText>
      </w:r>
      <w:r w:rsidRPr="0018528C">
        <w:rPr>
          <w:sz w:val="20"/>
        </w:rPr>
      </w:r>
      <w:r w:rsidRPr="0018528C">
        <w:rPr>
          <w:sz w:val="20"/>
        </w:rPr>
        <w:fldChar w:fldCharType="separate"/>
      </w:r>
      <w:r w:rsidRPr="0018528C">
        <w:rPr>
          <w:sz w:val="20"/>
        </w:rPr>
        <w:t xml:space="preserve">clause </w:t>
      </w:r>
      <w:r w:rsidRPr="0018528C">
        <w:rPr>
          <w:sz w:val="20"/>
        </w:rPr>
        <w:fldChar w:fldCharType="end"/>
      </w:r>
      <w:r w:rsidRPr="0018528C">
        <w:rPr>
          <w:sz w:val="20"/>
        </w:rPr>
        <w:fldChar w:fldCharType="begin"/>
      </w:r>
      <w:r w:rsidRPr="0018528C">
        <w:rPr>
          <w:sz w:val="20"/>
        </w:rPr>
        <w:instrText>REF a720125 \h \w</w:instrText>
      </w:r>
      <w:r w:rsidR="00B8782F" w:rsidRPr="0018528C">
        <w:rPr>
          <w:sz w:val="20"/>
        </w:rPr>
        <w:instrText xml:space="preserve"> \* MERGEFORMAT </w:instrText>
      </w:r>
      <w:r w:rsidRPr="0018528C">
        <w:rPr>
          <w:sz w:val="20"/>
        </w:rPr>
      </w:r>
      <w:r w:rsidRPr="0018528C">
        <w:rPr>
          <w:sz w:val="20"/>
        </w:rPr>
        <w:fldChar w:fldCharType="separate"/>
      </w:r>
      <w:r w:rsidRPr="0018528C">
        <w:rPr>
          <w:sz w:val="20"/>
        </w:rPr>
        <w:t>4.1</w:t>
      </w:r>
      <w:r w:rsidRPr="0018528C">
        <w:rPr>
          <w:sz w:val="20"/>
        </w:rPr>
        <w:fldChar w:fldCharType="end"/>
      </w:r>
      <w:r w:rsidRPr="0018528C">
        <w:rPr>
          <w:sz w:val="20"/>
        </w:rPr>
        <w:t xml:space="preserve"> [and </w:t>
      </w:r>
      <w:r w:rsidRPr="0018528C">
        <w:rPr>
          <w:sz w:val="20"/>
        </w:rPr>
        <w:fldChar w:fldCharType="begin"/>
      </w:r>
      <w:r w:rsidRPr="0018528C">
        <w:rPr>
          <w:sz w:val="20"/>
        </w:rPr>
        <w:instrText>PAGEREF a415186\# "'clause '"  \h</w:instrText>
      </w:r>
      <w:r w:rsidRPr="0018528C">
        <w:rPr>
          <w:sz w:val="20"/>
        </w:rPr>
      </w:r>
      <w:r w:rsidRPr="0018528C">
        <w:rPr>
          <w:sz w:val="20"/>
        </w:rPr>
        <w:fldChar w:fldCharType="separate"/>
      </w:r>
      <w:r w:rsidRPr="0018528C">
        <w:rPr>
          <w:sz w:val="20"/>
        </w:rPr>
        <w:t xml:space="preserve">clause </w:t>
      </w:r>
      <w:r w:rsidRPr="0018528C">
        <w:rPr>
          <w:sz w:val="20"/>
        </w:rPr>
        <w:fldChar w:fldCharType="end"/>
      </w:r>
      <w:r w:rsidRPr="0018528C">
        <w:rPr>
          <w:sz w:val="20"/>
        </w:rPr>
        <w:fldChar w:fldCharType="begin"/>
      </w:r>
      <w:r w:rsidRPr="0018528C">
        <w:rPr>
          <w:sz w:val="20"/>
        </w:rPr>
        <w:instrText>REF a415186 \h \w</w:instrText>
      </w:r>
      <w:r w:rsidR="00B8782F" w:rsidRPr="0018528C">
        <w:rPr>
          <w:sz w:val="20"/>
        </w:rPr>
        <w:instrText xml:space="preserve"> \* MERGEFORMAT </w:instrText>
      </w:r>
      <w:r w:rsidRPr="0018528C">
        <w:rPr>
          <w:sz w:val="20"/>
        </w:rPr>
      </w:r>
      <w:r w:rsidRPr="0018528C">
        <w:rPr>
          <w:sz w:val="20"/>
        </w:rPr>
        <w:fldChar w:fldCharType="separate"/>
      </w:r>
      <w:r w:rsidRPr="0018528C">
        <w:rPr>
          <w:sz w:val="20"/>
        </w:rPr>
        <w:t>4.2</w:t>
      </w:r>
      <w:r w:rsidRPr="0018528C">
        <w:rPr>
          <w:sz w:val="20"/>
        </w:rPr>
        <w:fldChar w:fldCharType="end"/>
      </w:r>
      <w:r w:rsidRPr="0018528C">
        <w:rPr>
          <w:sz w:val="20"/>
        </w:rPr>
        <w:t>]</w:t>
      </w:r>
      <w:r w:rsidRPr="006D75F3">
        <w:rPr>
          <w:sz w:val="20"/>
        </w:rPr>
        <w:t xml:space="preserve"> </w:t>
      </w:r>
      <w:r w:rsidRPr="00180C50">
        <w:rPr>
          <w:sz w:val="20"/>
        </w:rPr>
        <w:t xml:space="preserve">and </w:t>
      </w:r>
      <w:r w:rsidR="00180C50" w:rsidRPr="00180C50">
        <w:rPr>
          <w:sz w:val="20"/>
        </w:rPr>
        <w:t>Schedule 2</w:t>
      </w:r>
      <w:r w:rsidRPr="00180C50">
        <w:rPr>
          <w:sz w:val="20"/>
        </w:rPr>
        <w:t xml:space="preserve"> of this Agreement;</w:t>
      </w:r>
      <w:bookmarkEnd w:id="113"/>
    </w:p>
    <w:p w14:paraId="5B50C345" w14:textId="77777777" w:rsidR="00B8782F" w:rsidRPr="006D75F3" w:rsidRDefault="00B8782F" w:rsidP="006D75F3">
      <w:pPr>
        <w:pStyle w:val="Untitledsubclause2"/>
        <w:numPr>
          <w:ilvl w:val="0"/>
          <w:numId w:val="0"/>
        </w:numPr>
        <w:spacing w:after="0" w:line="20" w:lineRule="atLeast"/>
        <w:rPr>
          <w:sz w:val="20"/>
        </w:rPr>
      </w:pPr>
    </w:p>
    <w:p w14:paraId="2EDBB85B" w14:textId="77777777" w:rsidR="00F96AC2" w:rsidRPr="006D75F3" w:rsidRDefault="00000000" w:rsidP="006D75F3">
      <w:pPr>
        <w:pStyle w:val="Untitledsubclause2"/>
        <w:spacing w:after="0" w:line="20" w:lineRule="atLeast"/>
        <w:rPr>
          <w:sz w:val="20"/>
        </w:rPr>
      </w:pPr>
      <w:bookmarkStart w:id="114" w:name="a343581"/>
      <w:r w:rsidRPr="006D75F3">
        <w:rPr>
          <w:sz w:val="20"/>
        </w:rPr>
        <w:t>assessing whether the legal framework governing data quality, retention, and data subjects' rights are being complied with; and</w:t>
      </w:r>
      <w:bookmarkEnd w:id="114"/>
    </w:p>
    <w:p w14:paraId="2BCB5B56" w14:textId="77777777" w:rsidR="00B8782F" w:rsidRPr="006D75F3" w:rsidRDefault="00B8782F" w:rsidP="006D75F3">
      <w:pPr>
        <w:pStyle w:val="Untitledsubclause2"/>
        <w:numPr>
          <w:ilvl w:val="0"/>
          <w:numId w:val="0"/>
        </w:numPr>
        <w:spacing w:after="0" w:line="20" w:lineRule="atLeast"/>
        <w:rPr>
          <w:sz w:val="20"/>
        </w:rPr>
      </w:pPr>
    </w:p>
    <w:p w14:paraId="3E3C4A68" w14:textId="77777777" w:rsidR="00F96AC2" w:rsidRPr="006D75F3" w:rsidRDefault="00000000" w:rsidP="006D75F3">
      <w:pPr>
        <w:pStyle w:val="Untitledsubclause2"/>
        <w:spacing w:after="0" w:line="20" w:lineRule="atLeast"/>
        <w:rPr>
          <w:sz w:val="20"/>
        </w:rPr>
      </w:pPr>
      <w:bookmarkStart w:id="115" w:name="a858076"/>
      <w:r w:rsidRPr="006D75F3">
        <w:rPr>
          <w:sz w:val="20"/>
        </w:rPr>
        <w:t>assessing whether Personal Data Breaches involving the Shared Personal Data have been handled in accordance with this Agreement and the applicable legal framework.</w:t>
      </w:r>
      <w:bookmarkEnd w:id="115"/>
    </w:p>
    <w:p w14:paraId="235CA77C" w14:textId="77777777" w:rsidR="00B8782F" w:rsidRPr="006D75F3" w:rsidRDefault="00B8782F" w:rsidP="006D75F3">
      <w:pPr>
        <w:pStyle w:val="Untitledsubclause2"/>
        <w:numPr>
          <w:ilvl w:val="0"/>
          <w:numId w:val="0"/>
        </w:numPr>
        <w:spacing w:after="0" w:line="20" w:lineRule="atLeast"/>
        <w:rPr>
          <w:sz w:val="20"/>
        </w:rPr>
      </w:pPr>
    </w:p>
    <w:p w14:paraId="29FF5F55" w14:textId="77777777" w:rsidR="00F96AC2" w:rsidRPr="006D75F3" w:rsidRDefault="00000000" w:rsidP="006D75F3">
      <w:pPr>
        <w:pStyle w:val="Untitledsubclause1"/>
        <w:spacing w:before="0" w:after="0" w:line="20" w:lineRule="atLeast"/>
        <w:rPr>
          <w:sz w:val="20"/>
        </w:rPr>
      </w:pPr>
      <w:bookmarkStart w:id="116" w:name="a483499"/>
      <w:r w:rsidRPr="006D75F3">
        <w:rPr>
          <w:sz w:val="20"/>
        </w:rPr>
        <w:lastRenderedPageBreak/>
        <w:t>Each party reserves its rights to inspect the other party's arrangements for the Processing of Shared Personal Data and to terminate its involvement in this Agreement where it considers that the other party is not Processing the Shared Personal Data in accordance with this Agreement.</w:t>
      </w:r>
      <w:bookmarkEnd w:id="116"/>
    </w:p>
    <w:p w14:paraId="0C2DF3AD" w14:textId="77777777" w:rsidR="00B8782F" w:rsidRPr="006D75F3" w:rsidRDefault="00B8782F" w:rsidP="006D75F3">
      <w:pPr>
        <w:pStyle w:val="Untitledsubclause1"/>
        <w:numPr>
          <w:ilvl w:val="0"/>
          <w:numId w:val="0"/>
        </w:numPr>
        <w:spacing w:before="0" w:after="0" w:line="20" w:lineRule="atLeast"/>
        <w:rPr>
          <w:sz w:val="20"/>
        </w:rPr>
      </w:pPr>
    </w:p>
    <w:p w14:paraId="44F91AC4" w14:textId="055C99F6"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"13. Resolution of disputes with data subjects or the Supervisory Authority" \l 1</w:instrText>
      </w:r>
      <w:r w:rsidRPr="006D75F3">
        <w:rPr>
          <w:sz w:val="20"/>
        </w:rPr>
        <w:fldChar w:fldCharType="end"/>
      </w:r>
      <w:bookmarkStart w:id="117" w:name="_Toc256000012"/>
      <w:bookmarkStart w:id="118" w:name="a977876"/>
      <w:r w:rsidR="00B8782F" w:rsidRPr="006D75F3">
        <w:rPr>
          <w:sz w:val="20"/>
        </w:rPr>
        <w:t>RESOLUTION OF DISPUTES WITH DATA SUBJECTS OR THE SUPERVISORY AUTHORITY</w:t>
      </w:r>
      <w:bookmarkEnd w:id="117"/>
      <w:bookmarkEnd w:id="118"/>
    </w:p>
    <w:p w14:paraId="7F39575A" w14:textId="77777777" w:rsidR="00B8782F" w:rsidRPr="006D75F3" w:rsidRDefault="00B8782F" w:rsidP="006D75F3">
      <w:pPr>
        <w:pStyle w:val="TitleClause"/>
        <w:numPr>
          <w:ilvl w:val="0"/>
          <w:numId w:val="0"/>
        </w:numPr>
        <w:spacing w:before="0" w:after="0" w:line="20" w:lineRule="atLeast"/>
        <w:ind w:left="720"/>
        <w:rPr>
          <w:sz w:val="20"/>
        </w:rPr>
      </w:pPr>
    </w:p>
    <w:p w14:paraId="2384B7B5" w14:textId="77777777" w:rsidR="00F96AC2" w:rsidRPr="006D75F3" w:rsidRDefault="00000000" w:rsidP="006D75F3">
      <w:pPr>
        <w:pStyle w:val="Untitledsubclause1"/>
        <w:spacing w:before="0" w:after="0" w:line="20" w:lineRule="atLeast"/>
        <w:rPr>
          <w:sz w:val="20"/>
        </w:rPr>
      </w:pPr>
      <w:bookmarkStart w:id="119" w:name="a785200"/>
      <w:r w:rsidRPr="006D75F3">
        <w:rPr>
          <w:sz w:val="20"/>
        </w:rPr>
        <w:t>In the event of a dispute, complaint or claim brought by a Data Subject or the Information Commissioner [or a Supervisory Authority] concerning the processing of Shared Personal Data against either or both parties, the parties will inform each other about any such disputes, complaints or claims, and will cooperate with a view to settling them amicably in a timely fashion.</w:t>
      </w:r>
      <w:bookmarkEnd w:id="119"/>
    </w:p>
    <w:p w14:paraId="0EC7DD35" w14:textId="77777777" w:rsidR="00B8782F" w:rsidRPr="006D75F3" w:rsidRDefault="00B8782F" w:rsidP="006D75F3">
      <w:pPr>
        <w:pStyle w:val="Untitledsubclause1"/>
        <w:numPr>
          <w:ilvl w:val="0"/>
          <w:numId w:val="0"/>
        </w:numPr>
        <w:spacing w:before="0" w:after="0" w:line="20" w:lineRule="atLeast"/>
        <w:ind w:left="720"/>
        <w:rPr>
          <w:sz w:val="20"/>
        </w:rPr>
      </w:pPr>
    </w:p>
    <w:p w14:paraId="358860D0" w14:textId="5361351C" w:rsidR="00F96AC2" w:rsidRPr="006D75F3" w:rsidRDefault="00000000" w:rsidP="006D75F3">
      <w:pPr>
        <w:pStyle w:val="Untitledsubclause1"/>
        <w:spacing w:before="0" w:after="0" w:line="20" w:lineRule="atLeast"/>
        <w:rPr>
          <w:sz w:val="20"/>
        </w:rPr>
      </w:pPr>
      <w:bookmarkStart w:id="120" w:name="a467690"/>
      <w:r w:rsidRPr="006D75F3">
        <w:rPr>
          <w:sz w:val="20"/>
        </w:rPr>
        <w:t>The parties agree to respond to any generally available non-binding mediation procedure initiated by a Data Subject or by the Information Commissioner. If they do participate in the proceedings, the parties may elect to do so remotely (such as by telephone or other electronic means). The parties also agree to consider participating in any other arbitration, mediation or other dispute resolution proceedings developed for data protection disputes.</w:t>
      </w:r>
      <w:bookmarkEnd w:id="120"/>
    </w:p>
    <w:p w14:paraId="28CA58D3" w14:textId="77777777" w:rsidR="00B8782F" w:rsidRPr="006D75F3" w:rsidRDefault="00B8782F" w:rsidP="006D75F3">
      <w:pPr>
        <w:pStyle w:val="Untitledsubclause1"/>
        <w:numPr>
          <w:ilvl w:val="0"/>
          <w:numId w:val="0"/>
        </w:numPr>
        <w:spacing w:before="0" w:after="0" w:line="20" w:lineRule="atLeast"/>
        <w:rPr>
          <w:sz w:val="20"/>
        </w:rPr>
      </w:pPr>
    </w:p>
    <w:p w14:paraId="4BF6DF08" w14:textId="4A6ECEF9" w:rsidR="00F96AC2" w:rsidRPr="006D75F3" w:rsidRDefault="00000000" w:rsidP="006D75F3">
      <w:pPr>
        <w:pStyle w:val="Untitledsubclause1"/>
        <w:spacing w:before="0" w:after="0" w:line="20" w:lineRule="atLeast"/>
        <w:rPr>
          <w:sz w:val="20"/>
        </w:rPr>
      </w:pPr>
      <w:bookmarkStart w:id="121" w:name="a438806"/>
      <w:r w:rsidRPr="006D75F3">
        <w:rPr>
          <w:sz w:val="20"/>
        </w:rPr>
        <w:t>Each party shall abide by a decision of a competent court of the Data Discloser's country of establishment or of the Information Commissioner.</w:t>
      </w:r>
      <w:bookmarkEnd w:id="121"/>
    </w:p>
    <w:p w14:paraId="25431FF5" w14:textId="77777777" w:rsidR="00B8782F" w:rsidRPr="006D75F3" w:rsidRDefault="00B8782F" w:rsidP="006D75F3">
      <w:pPr>
        <w:pStyle w:val="Untitledsubclause1"/>
        <w:numPr>
          <w:ilvl w:val="0"/>
          <w:numId w:val="0"/>
        </w:numPr>
        <w:spacing w:before="0" w:after="0" w:line="20" w:lineRule="atLeast"/>
        <w:rPr>
          <w:sz w:val="20"/>
        </w:rPr>
      </w:pPr>
    </w:p>
    <w:p w14:paraId="58D71D15" w14:textId="598571FE"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"14. Language" \l 1</w:instrText>
      </w:r>
      <w:r w:rsidRPr="006D75F3">
        <w:rPr>
          <w:sz w:val="20"/>
        </w:rPr>
        <w:fldChar w:fldCharType="end"/>
      </w:r>
      <w:bookmarkStart w:id="122" w:name="_Toc256000013"/>
      <w:bookmarkStart w:id="123" w:name="a311301"/>
      <w:r w:rsidR="00B8782F" w:rsidRPr="006D75F3">
        <w:rPr>
          <w:sz w:val="20"/>
        </w:rPr>
        <w:t>LANGUAGE</w:t>
      </w:r>
      <w:bookmarkEnd w:id="122"/>
      <w:bookmarkEnd w:id="123"/>
    </w:p>
    <w:p w14:paraId="3CD5E3FA" w14:textId="77777777" w:rsidR="00B8782F" w:rsidRPr="006D75F3" w:rsidRDefault="00B8782F" w:rsidP="006D75F3">
      <w:pPr>
        <w:pStyle w:val="TitleClause"/>
        <w:numPr>
          <w:ilvl w:val="0"/>
          <w:numId w:val="0"/>
        </w:numPr>
        <w:spacing w:before="0" w:after="0" w:line="20" w:lineRule="atLeast"/>
        <w:ind w:left="720"/>
        <w:rPr>
          <w:sz w:val="20"/>
        </w:rPr>
      </w:pPr>
    </w:p>
    <w:p w14:paraId="4F838D0A" w14:textId="024ABFBB" w:rsidR="00F96AC2" w:rsidRPr="006D75F3" w:rsidRDefault="00000000" w:rsidP="006D75F3">
      <w:pPr>
        <w:pStyle w:val="Untitledsubclause1"/>
        <w:spacing w:before="0" w:after="0" w:line="20" w:lineRule="atLeast"/>
        <w:rPr>
          <w:sz w:val="20"/>
        </w:rPr>
      </w:pPr>
      <w:bookmarkStart w:id="124" w:name="a301817"/>
      <w:r w:rsidRPr="006D75F3">
        <w:rPr>
          <w:sz w:val="20"/>
        </w:rPr>
        <w:t>This Agreement is drafted in the English language. If this Agreement is translated into any other language, the English language version shall prevail.</w:t>
      </w:r>
      <w:bookmarkEnd w:id="124"/>
    </w:p>
    <w:p w14:paraId="7E61B8B9" w14:textId="77777777" w:rsidR="00B8782F" w:rsidRPr="006D75F3" w:rsidRDefault="00B8782F" w:rsidP="006D75F3">
      <w:pPr>
        <w:pStyle w:val="Untitledsubclause1"/>
        <w:numPr>
          <w:ilvl w:val="0"/>
          <w:numId w:val="0"/>
        </w:numPr>
        <w:spacing w:before="0" w:after="0" w:line="20" w:lineRule="atLeast"/>
        <w:ind w:left="720"/>
        <w:rPr>
          <w:sz w:val="20"/>
        </w:rPr>
      </w:pPr>
    </w:p>
    <w:p w14:paraId="04C68D61" w14:textId="77777777" w:rsidR="00F96AC2" w:rsidRPr="006D75F3" w:rsidRDefault="00000000" w:rsidP="006D75F3">
      <w:pPr>
        <w:pStyle w:val="Untitledsubclause1"/>
        <w:spacing w:before="0" w:after="0" w:line="20" w:lineRule="atLeast"/>
        <w:rPr>
          <w:sz w:val="20"/>
        </w:rPr>
      </w:pPr>
      <w:bookmarkStart w:id="125" w:name="a567349"/>
      <w:r w:rsidRPr="006D75F3">
        <w:rPr>
          <w:sz w:val="20"/>
        </w:rPr>
        <w:t>Any notice given under or in connection with this Agreement shall be in English. All other documents provided under or in connection with this Agreement shall be in English or accompanied by a certified English translation.</w:t>
      </w:r>
      <w:bookmarkEnd w:id="125"/>
    </w:p>
    <w:p w14:paraId="502A866C" w14:textId="77777777" w:rsidR="00F96AC2" w:rsidRPr="006D75F3" w:rsidRDefault="00000000" w:rsidP="006D75F3">
      <w:pPr>
        <w:pStyle w:val="Untitledsubclause1"/>
        <w:spacing w:before="0" w:after="0" w:line="20" w:lineRule="atLeast"/>
        <w:rPr>
          <w:sz w:val="20"/>
        </w:rPr>
      </w:pPr>
      <w:bookmarkStart w:id="126" w:name="a213501"/>
      <w:r w:rsidRPr="006D75F3">
        <w:rPr>
          <w:sz w:val="20"/>
        </w:rPr>
        <w:t>The English language version of this Agreement [and any notice or other document relating to this Agreement] shall prevail if there is a conflict [except where the document is a constitutional, statutory or other official document].</w:t>
      </w:r>
      <w:bookmarkEnd w:id="126"/>
    </w:p>
    <w:p w14:paraId="2D700D8D" w14:textId="77777777" w:rsidR="00B8782F" w:rsidRPr="006D75F3" w:rsidRDefault="00B8782F" w:rsidP="006D75F3">
      <w:pPr>
        <w:pStyle w:val="Untitledsubclause1"/>
        <w:numPr>
          <w:ilvl w:val="0"/>
          <w:numId w:val="0"/>
        </w:numPr>
        <w:spacing w:before="0" w:after="0" w:line="20" w:lineRule="atLeast"/>
        <w:ind w:left="720"/>
        <w:rPr>
          <w:sz w:val="20"/>
        </w:rPr>
      </w:pPr>
    </w:p>
    <w:p w14:paraId="0A73C251" w14:textId="2B0E47B9"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"15. Warranties" \l 1</w:instrText>
      </w:r>
      <w:r w:rsidRPr="006D75F3">
        <w:rPr>
          <w:sz w:val="20"/>
        </w:rPr>
        <w:fldChar w:fldCharType="end"/>
      </w:r>
      <w:bookmarkStart w:id="127" w:name="_Toc256000014"/>
      <w:bookmarkStart w:id="128" w:name="a253666"/>
      <w:r w:rsidR="00B8782F" w:rsidRPr="006D75F3">
        <w:rPr>
          <w:sz w:val="20"/>
        </w:rPr>
        <w:t>WARRANTIES</w:t>
      </w:r>
      <w:bookmarkEnd w:id="127"/>
      <w:bookmarkEnd w:id="128"/>
    </w:p>
    <w:p w14:paraId="4D5EE523" w14:textId="77777777" w:rsidR="00B8782F" w:rsidRPr="006D75F3" w:rsidRDefault="00B8782F" w:rsidP="006D75F3">
      <w:pPr>
        <w:pStyle w:val="TitleClause"/>
        <w:numPr>
          <w:ilvl w:val="0"/>
          <w:numId w:val="0"/>
        </w:numPr>
        <w:spacing w:before="0" w:after="0" w:line="20" w:lineRule="atLeast"/>
        <w:ind w:left="720"/>
        <w:rPr>
          <w:sz w:val="20"/>
        </w:rPr>
      </w:pPr>
    </w:p>
    <w:p w14:paraId="15F2522E" w14:textId="77777777" w:rsidR="00F96AC2" w:rsidRPr="006D75F3" w:rsidRDefault="00000000" w:rsidP="006D75F3">
      <w:pPr>
        <w:pStyle w:val="Untitledsubclause1"/>
        <w:spacing w:before="0" w:after="0" w:line="20" w:lineRule="atLeast"/>
        <w:rPr>
          <w:sz w:val="20"/>
        </w:rPr>
      </w:pPr>
      <w:bookmarkStart w:id="129" w:name="a297563"/>
      <w:r w:rsidRPr="006D75F3">
        <w:rPr>
          <w:sz w:val="20"/>
        </w:rPr>
        <w:t>Each party warrants and undertakes that it will:</w:t>
      </w:r>
      <w:bookmarkEnd w:id="129"/>
    </w:p>
    <w:p w14:paraId="1AD3CFE1" w14:textId="77777777" w:rsidR="00B8782F" w:rsidRPr="006D75F3" w:rsidRDefault="00B8782F" w:rsidP="006D75F3">
      <w:pPr>
        <w:pStyle w:val="Untitledsubclause1"/>
        <w:numPr>
          <w:ilvl w:val="0"/>
          <w:numId w:val="0"/>
        </w:numPr>
        <w:spacing w:before="0" w:after="0" w:line="20" w:lineRule="atLeast"/>
        <w:ind w:left="720"/>
        <w:rPr>
          <w:sz w:val="20"/>
        </w:rPr>
      </w:pPr>
    </w:p>
    <w:p w14:paraId="0C475D65" w14:textId="77777777" w:rsidR="00F96AC2" w:rsidRPr="006D75F3" w:rsidRDefault="00000000" w:rsidP="006D75F3">
      <w:pPr>
        <w:pStyle w:val="Untitledsubclause2"/>
        <w:spacing w:after="0" w:line="20" w:lineRule="atLeast"/>
        <w:rPr>
          <w:sz w:val="20"/>
        </w:rPr>
      </w:pPr>
      <w:bookmarkStart w:id="130" w:name="a842760"/>
      <w:r w:rsidRPr="006D75F3">
        <w:rPr>
          <w:sz w:val="20"/>
        </w:rPr>
        <w:t>Process the Shared Personal Data in compliance with all applicable laws, enactments, regulations, orders, standards and other similar instruments that apply to its Personal Data processing operations.</w:t>
      </w:r>
      <w:bookmarkEnd w:id="130"/>
    </w:p>
    <w:p w14:paraId="6D3CD344" w14:textId="77777777" w:rsidR="00D91E42" w:rsidRPr="006D75F3" w:rsidRDefault="00D91E42" w:rsidP="006D75F3">
      <w:pPr>
        <w:pStyle w:val="Untitledsubclause2"/>
        <w:numPr>
          <w:ilvl w:val="0"/>
          <w:numId w:val="0"/>
        </w:numPr>
        <w:spacing w:after="0" w:line="20" w:lineRule="atLeast"/>
        <w:ind w:left="1555"/>
        <w:rPr>
          <w:sz w:val="20"/>
        </w:rPr>
      </w:pPr>
    </w:p>
    <w:p w14:paraId="28D6A563" w14:textId="40DA51B4" w:rsidR="00F96AC2" w:rsidRPr="006D75F3" w:rsidRDefault="00000000" w:rsidP="006D75F3">
      <w:pPr>
        <w:pStyle w:val="Untitledsubclause2"/>
        <w:spacing w:after="0" w:line="20" w:lineRule="atLeast"/>
        <w:rPr>
          <w:sz w:val="20"/>
        </w:rPr>
      </w:pPr>
      <w:bookmarkStart w:id="131" w:name="a382489"/>
      <w:r w:rsidRPr="006D75F3">
        <w:rPr>
          <w:sz w:val="20"/>
        </w:rPr>
        <w:t>Make available on request to the Data Subjects who are third party beneficiaries a copy of this Agreement, unless the Agreement contains confidential information.</w:t>
      </w:r>
      <w:bookmarkEnd w:id="131"/>
    </w:p>
    <w:p w14:paraId="07133DDE" w14:textId="77777777" w:rsidR="00B8782F" w:rsidRPr="006D75F3" w:rsidRDefault="00B8782F" w:rsidP="006D75F3">
      <w:pPr>
        <w:pStyle w:val="Untitledsubclause2"/>
        <w:numPr>
          <w:ilvl w:val="0"/>
          <w:numId w:val="0"/>
        </w:numPr>
        <w:spacing w:after="0" w:line="20" w:lineRule="atLeast"/>
        <w:ind w:left="1555"/>
        <w:rPr>
          <w:sz w:val="20"/>
        </w:rPr>
      </w:pPr>
    </w:p>
    <w:p w14:paraId="4D939B8F" w14:textId="6637A5B8" w:rsidR="00F96AC2" w:rsidRPr="006D75F3" w:rsidRDefault="00000000" w:rsidP="006D75F3">
      <w:pPr>
        <w:pStyle w:val="Untitledsubclause2"/>
        <w:spacing w:after="0" w:line="20" w:lineRule="atLeast"/>
        <w:rPr>
          <w:sz w:val="20"/>
        </w:rPr>
      </w:pPr>
      <w:bookmarkStart w:id="132" w:name="a899969"/>
      <w:r w:rsidRPr="006D75F3">
        <w:rPr>
          <w:sz w:val="20"/>
        </w:rPr>
        <w:t>Respond within a reasonable time and as far as reasonably possible to enquiries from the Information Commissioner or relevant Supervisory Authority in relation to the Shared Personal Data.</w:t>
      </w:r>
      <w:bookmarkEnd w:id="132"/>
    </w:p>
    <w:p w14:paraId="7AF48BAA" w14:textId="77777777" w:rsidR="00D91E42" w:rsidRPr="006D75F3" w:rsidRDefault="00D91E42" w:rsidP="006D75F3">
      <w:pPr>
        <w:pStyle w:val="Untitledsubclause2"/>
        <w:numPr>
          <w:ilvl w:val="0"/>
          <w:numId w:val="0"/>
        </w:numPr>
        <w:spacing w:after="0" w:line="20" w:lineRule="atLeast"/>
        <w:rPr>
          <w:sz w:val="20"/>
        </w:rPr>
      </w:pPr>
    </w:p>
    <w:p w14:paraId="32C39990" w14:textId="77777777" w:rsidR="00F96AC2" w:rsidRPr="006D75F3" w:rsidRDefault="00000000" w:rsidP="006D75F3">
      <w:pPr>
        <w:pStyle w:val="Untitledsubclause2"/>
        <w:spacing w:after="0" w:line="20" w:lineRule="atLeast"/>
        <w:rPr>
          <w:sz w:val="20"/>
        </w:rPr>
      </w:pPr>
      <w:bookmarkStart w:id="133" w:name="a398954"/>
      <w:r w:rsidRPr="006D75F3">
        <w:rPr>
          <w:sz w:val="20"/>
        </w:rPr>
        <w:t>Respond to Subject Rights Requests in accordance with the Data Protection Legislation, including where necessary (</w:t>
      </w:r>
      <w:proofErr w:type="spellStart"/>
      <w:r w:rsidRPr="006D75F3">
        <w:rPr>
          <w:sz w:val="20"/>
        </w:rPr>
        <w:t>i</w:t>
      </w:r>
      <w:proofErr w:type="spellEnd"/>
      <w:r w:rsidRPr="006D75F3">
        <w:rPr>
          <w:sz w:val="20"/>
        </w:rPr>
        <w:t>) advising the other party of any step(s) it should reasonably take in this regard; and (ii) where the legitimate ground relied upon is a Data Subject's consent, the timely operation of an effective procedure if such consent is withdrawn.</w:t>
      </w:r>
      <w:bookmarkEnd w:id="133"/>
    </w:p>
    <w:p w14:paraId="283BE937" w14:textId="77777777" w:rsidR="00D91E42" w:rsidRPr="006D75F3" w:rsidRDefault="00D91E42" w:rsidP="006D75F3">
      <w:pPr>
        <w:pStyle w:val="Untitledsubclause2"/>
        <w:numPr>
          <w:ilvl w:val="0"/>
          <w:numId w:val="0"/>
        </w:numPr>
        <w:spacing w:after="0" w:line="20" w:lineRule="atLeast"/>
        <w:rPr>
          <w:sz w:val="20"/>
        </w:rPr>
      </w:pPr>
    </w:p>
    <w:p w14:paraId="14E6F046" w14:textId="3DECC404" w:rsidR="00F96AC2" w:rsidRPr="006D75F3" w:rsidRDefault="00000000" w:rsidP="006D75F3">
      <w:pPr>
        <w:pStyle w:val="Untitledsubclause2"/>
        <w:spacing w:after="0" w:line="20" w:lineRule="atLeast"/>
        <w:rPr>
          <w:sz w:val="20"/>
        </w:rPr>
      </w:pPr>
      <w:bookmarkStart w:id="134" w:name="a980889"/>
      <w:r w:rsidRPr="006D75F3">
        <w:rPr>
          <w:sz w:val="20"/>
        </w:rPr>
        <w:t>Where applicable, maintain registration with the Information Commissioner and all relevant Supervisory Authorities to process all Shared Personal Data for the Agreed Purpose.</w:t>
      </w:r>
      <w:bookmarkEnd w:id="134"/>
    </w:p>
    <w:p w14:paraId="16087586" w14:textId="77777777" w:rsidR="00D91E42" w:rsidRPr="006D75F3" w:rsidRDefault="00D91E42" w:rsidP="006D75F3">
      <w:pPr>
        <w:pStyle w:val="Untitledsubclause2"/>
        <w:numPr>
          <w:ilvl w:val="0"/>
          <w:numId w:val="0"/>
        </w:numPr>
        <w:spacing w:after="0" w:line="20" w:lineRule="atLeast"/>
        <w:rPr>
          <w:sz w:val="20"/>
        </w:rPr>
      </w:pPr>
    </w:p>
    <w:p w14:paraId="7A9C616D" w14:textId="454D54AB" w:rsidR="00F96AC2" w:rsidRPr="006D75F3" w:rsidRDefault="00000000" w:rsidP="006D75F3">
      <w:pPr>
        <w:pStyle w:val="Untitledsubclause2"/>
        <w:spacing w:after="0" w:line="20" w:lineRule="atLeast"/>
        <w:rPr>
          <w:sz w:val="20"/>
        </w:rPr>
      </w:pPr>
      <w:bookmarkStart w:id="135" w:name="a821561"/>
      <w:r w:rsidRPr="006D75F3">
        <w:rPr>
          <w:sz w:val="20"/>
        </w:rPr>
        <w:t xml:space="preserve">Take all appropriate steps to ensure compliance with the security measures set out in </w:t>
      </w:r>
      <w:r w:rsidRPr="006D75F3">
        <w:rPr>
          <w:sz w:val="20"/>
        </w:rPr>
        <w:fldChar w:fldCharType="begin"/>
      </w:r>
      <w:r w:rsidRPr="006D75F3">
        <w:rPr>
          <w:sz w:val="20"/>
        </w:rPr>
        <w:instrText>PAGEREF a507947\# "'clause '"  \h</w:instrText>
      </w:r>
      <w:r w:rsidRPr="006D75F3">
        <w:rPr>
          <w:sz w:val="20"/>
        </w:rPr>
      </w:r>
      <w:r w:rsidRPr="006D75F3">
        <w:rPr>
          <w:sz w:val="20"/>
        </w:rPr>
        <w:fldChar w:fldCharType="separate"/>
      </w:r>
      <w:r w:rsidRPr="006D75F3">
        <w:rPr>
          <w:sz w:val="20"/>
        </w:rPr>
        <w:t xml:space="preserve">clause </w:t>
      </w:r>
      <w:r w:rsidRPr="006D75F3">
        <w:rPr>
          <w:sz w:val="20"/>
        </w:rPr>
        <w:fldChar w:fldCharType="end"/>
      </w:r>
      <w:r w:rsidRPr="006D75F3">
        <w:rPr>
          <w:sz w:val="20"/>
        </w:rPr>
        <w:fldChar w:fldCharType="begin"/>
      </w:r>
      <w:r w:rsidRPr="006D75F3">
        <w:rPr>
          <w:sz w:val="20"/>
          <w:highlight w:val="lightGray"/>
        </w:rPr>
        <w:instrText>REF a507947 \h \w</w:instrText>
      </w:r>
      <w:r w:rsidR="00B8782F" w:rsidRPr="006D75F3">
        <w:rPr>
          <w:sz w:val="20"/>
        </w:rPr>
        <w:instrText xml:space="preserve"> \* MERGEFORMAT </w:instrText>
      </w:r>
      <w:r w:rsidRPr="006D75F3">
        <w:rPr>
          <w:sz w:val="20"/>
        </w:rPr>
      </w:r>
      <w:r w:rsidRPr="006D75F3">
        <w:rPr>
          <w:sz w:val="20"/>
        </w:rPr>
        <w:fldChar w:fldCharType="separate"/>
      </w:r>
      <w:r w:rsidRPr="006D75F3">
        <w:rPr>
          <w:sz w:val="20"/>
        </w:rPr>
        <w:t>10</w:t>
      </w:r>
      <w:r w:rsidRPr="006D75F3">
        <w:rPr>
          <w:sz w:val="20"/>
        </w:rPr>
        <w:fldChar w:fldCharType="end"/>
      </w:r>
      <w:r w:rsidRPr="006D75F3">
        <w:rPr>
          <w:sz w:val="20"/>
        </w:rPr>
        <w:t xml:space="preserve"> above.</w:t>
      </w:r>
      <w:bookmarkEnd w:id="135"/>
    </w:p>
    <w:p w14:paraId="6570D3D2" w14:textId="77777777" w:rsidR="00D91E42" w:rsidRPr="006D75F3" w:rsidRDefault="00D91E42" w:rsidP="006D75F3">
      <w:pPr>
        <w:pStyle w:val="Untitledsubclause2"/>
        <w:numPr>
          <w:ilvl w:val="0"/>
          <w:numId w:val="0"/>
        </w:numPr>
        <w:spacing w:after="0" w:line="20" w:lineRule="atLeast"/>
        <w:rPr>
          <w:sz w:val="20"/>
        </w:rPr>
      </w:pPr>
    </w:p>
    <w:p w14:paraId="5C52950C" w14:textId="77777777" w:rsidR="00F96AC2" w:rsidRPr="006D75F3" w:rsidRDefault="00000000" w:rsidP="006D75F3">
      <w:pPr>
        <w:pStyle w:val="Untitledsubclause1"/>
        <w:spacing w:before="0" w:after="0" w:line="20" w:lineRule="atLeast"/>
        <w:rPr>
          <w:sz w:val="20"/>
        </w:rPr>
      </w:pPr>
      <w:bookmarkStart w:id="136" w:name="a156896"/>
      <w:r w:rsidRPr="006D75F3">
        <w:rPr>
          <w:sz w:val="20"/>
        </w:rPr>
        <w:t xml:space="preserve">The Data Discloser warrants and undertakes that it is entitled to provide the Shared Personal Data to the Data </w:t>
      </w:r>
      <w:proofErr w:type="gramStart"/>
      <w:r w:rsidRPr="006D75F3">
        <w:rPr>
          <w:sz w:val="20"/>
        </w:rPr>
        <w:t>Receiver</w:t>
      </w:r>
      <w:proofErr w:type="gramEnd"/>
      <w:r w:rsidRPr="006D75F3">
        <w:rPr>
          <w:sz w:val="20"/>
        </w:rPr>
        <w:t xml:space="preserve"> and it will ensure that the Shared Personal Data is accurate.</w:t>
      </w:r>
      <w:bookmarkEnd w:id="136"/>
    </w:p>
    <w:p w14:paraId="0410AA7A" w14:textId="77777777" w:rsidR="00D91E42" w:rsidRPr="006D75F3" w:rsidRDefault="00D91E42" w:rsidP="006D75F3">
      <w:pPr>
        <w:pStyle w:val="Untitledsubclause1"/>
        <w:numPr>
          <w:ilvl w:val="0"/>
          <w:numId w:val="0"/>
        </w:numPr>
        <w:spacing w:before="0" w:after="0" w:line="20" w:lineRule="atLeast"/>
        <w:ind w:left="720"/>
        <w:rPr>
          <w:sz w:val="20"/>
        </w:rPr>
      </w:pPr>
    </w:p>
    <w:p w14:paraId="672CD056" w14:textId="599D631E" w:rsidR="00F96AC2" w:rsidRPr="00180C50" w:rsidRDefault="00000000" w:rsidP="006D75F3">
      <w:pPr>
        <w:pStyle w:val="Untitledsubclause1"/>
        <w:spacing w:before="0" w:after="0" w:line="20" w:lineRule="atLeast"/>
        <w:rPr>
          <w:sz w:val="20"/>
        </w:rPr>
      </w:pPr>
      <w:bookmarkStart w:id="137" w:name="a642043"/>
      <w:r w:rsidRPr="00180C50">
        <w:rPr>
          <w:sz w:val="20"/>
        </w:rPr>
        <w:t xml:space="preserve">The Data Receiver warrants and undertakes that it will not disclose or transfer the Shared Personal Data to a third party Controller located outside the UK unless it complies with the obligations set out in </w:t>
      </w:r>
      <w:r w:rsidRPr="00180C50">
        <w:rPr>
          <w:sz w:val="20"/>
        </w:rPr>
        <w:fldChar w:fldCharType="begin"/>
      </w:r>
      <w:r w:rsidRPr="00180C50">
        <w:rPr>
          <w:sz w:val="20"/>
        </w:rPr>
        <w:instrText>PAGEREF a971192\# "'clause '"  \h</w:instrText>
      </w:r>
      <w:r w:rsidRPr="00180C50">
        <w:rPr>
          <w:sz w:val="20"/>
        </w:rPr>
      </w:r>
      <w:r w:rsidRPr="00180C50">
        <w:rPr>
          <w:sz w:val="20"/>
        </w:rPr>
        <w:fldChar w:fldCharType="separate"/>
      </w:r>
      <w:r w:rsidRPr="00180C50">
        <w:rPr>
          <w:sz w:val="20"/>
        </w:rPr>
        <w:t xml:space="preserve">clause </w:t>
      </w:r>
      <w:r w:rsidRPr="00180C50">
        <w:rPr>
          <w:sz w:val="20"/>
        </w:rPr>
        <w:fldChar w:fldCharType="end"/>
      </w:r>
      <w:r w:rsidRPr="00180C50">
        <w:rPr>
          <w:sz w:val="20"/>
        </w:rPr>
        <w:fldChar w:fldCharType="begin"/>
      </w:r>
      <w:r w:rsidRPr="00180C50">
        <w:rPr>
          <w:sz w:val="20"/>
        </w:rPr>
        <w:instrText>REF a971192 \h \w</w:instrText>
      </w:r>
      <w:r w:rsidR="00B8782F" w:rsidRPr="00180C50">
        <w:rPr>
          <w:sz w:val="20"/>
        </w:rPr>
        <w:instrText xml:space="preserve"> \* MERGEFORMAT </w:instrText>
      </w:r>
      <w:r w:rsidRPr="00180C50">
        <w:rPr>
          <w:sz w:val="20"/>
        </w:rPr>
      </w:r>
      <w:r w:rsidRPr="00180C50">
        <w:rPr>
          <w:sz w:val="20"/>
        </w:rPr>
        <w:fldChar w:fldCharType="separate"/>
      </w:r>
      <w:r w:rsidRPr="00180C50">
        <w:rPr>
          <w:sz w:val="20"/>
        </w:rPr>
        <w:t>9.3</w:t>
      </w:r>
      <w:r w:rsidRPr="00180C50">
        <w:rPr>
          <w:sz w:val="20"/>
        </w:rPr>
        <w:fldChar w:fldCharType="end"/>
      </w:r>
      <w:r w:rsidRPr="00180C50">
        <w:rPr>
          <w:sz w:val="20"/>
        </w:rPr>
        <w:t xml:space="preserve"> above.</w:t>
      </w:r>
      <w:bookmarkEnd w:id="137"/>
    </w:p>
    <w:p w14:paraId="03EB114E" w14:textId="77777777" w:rsidR="00D91E42" w:rsidRPr="006D75F3" w:rsidRDefault="00D91E42" w:rsidP="006D75F3">
      <w:pPr>
        <w:pStyle w:val="Untitledsubclause1"/>
        <w:numPr>
          <w:ilvl w:val="0"/>
          <w:numId w:val="0"/>
        </w:numPr>
        <w:spacing w:before="0" w:after="0" w:line="20" w:lineRule="atLeast"/>
        <w:rPr>
          <w:sz w:val="20"/>
        </w:rPr>
      </w:pPr>
    </w:p>
    <w:p w14:paraId="3D41716C" w14:textId="77777777" w:rsidR="00F96AC2" w:rsidRPr="006D75F3" w:rsidRDefault="00000000" w:rsidP="006D75F3">
      <w:pPr>
        <w:pStyle w:val="Untitledsubclause1"/>
        <w:spacing w:before="0" w:after="0" w:line="20" w:lineRule="atLeast"/>
        <w:rPr>
          <w:sz w:val="20"/>
        </w:rPr>
      </w:pPr>
      <w:bookmarkStart w:id="138" w:name="a943006"/>
      <w:r w:rsidRPr="006D75F3">
        <w:rPr>
          <w:sz w:val="20"/>
        </w:rPr>
        <w:lastRenderedPageBreak/>
        <w:t>Except as expressly stated in this Agreement, all warranties, conditions and terms, whether express or implied by statute, common law or otherwise are hereby excluded to the greatest extent permitted by law.</w:t>
      </w:r>
      <w:bookmarkEnd w:id="138"/>
    </w:p>
    <w:p w14:paraId="4C009B00" w14:textId="77777777" w:rsidR="00D91E42" w:rsidRPr="006D75F3" w:rsidRDefault="00D91E42" w:rsidP="006D75F3">
      <w:pPr>
        <w:pStyle w:val="Untitledsubclause1"/>
        <w:numPr>
          <w:ilvl w:val="0"/>
          <w:numId w:val="0"/>
        </w:numPr>
        <w:spacing w:before="0" w:after="0" w:line="20" w:lineRule="atLeast"/>
        <w:rPr>
          <w:sz w:val="20"/>
        </w:rPr>
      </w:pPr>
    </w:p>
    <w:p w14:paraId="12A91195" w14:textId="05F0616D" w:rsidR="00F96AC2" w:rsidRPr="00180C50" w:rsidRDefault="00000000" w:rsidP="006D75F3">
      <w:pPr>
        <w:pStyle w:val="TitleClause"/>
        <w:spacing w:before="0" w:after="0" w:line="20" w:lineRule="atLeast"/>
        <w:rPr>
          <w:sz w:val="20"/>
        </w:rPr>
      </w:pPr>
      <w:r w:rsidRPr="00180C50">
        <w:rPr>
          <w:sz w:val="20"/>
        </w:rPr>
        <w:fldChar w:fldCharType="begin"/>
      </w:r>
      <w:r w:rsidRPr="00180C50">
        <w:rPr>
          <w:sz w:val="20"/>
        </w:rPr>
        <w:instrText>TC "16. Indemnity" \l 1</w:instrText>
      </w:r>
      <w:r w:rsidRPr="00180C50">
        <w:rPr>
          <w:sz w:val="20"/>
        </w:rPr>
        <w:fldChar w:fldCharType="end"/>
      </w:r>
      <w:bookmarkStart w:id="139" w:name="_Toc256000015"/>
      <w:bookmarkStart w:id="140" w:name="a296088"/>
      <w:r w:rsidR="00D91E42" w:rsidRPr="00180C50">
        <w:rPr>
          <w:sz w:val="20"/>
        </w:rPr>
        <w:t>INDEMNITY</w:t>
      </w:r>
      <w:bookmarkEnd w:id="139"/>
      <w:r w:rsidRPr="00180C50">
        <w:rPr>
          <w:sz w:val="20"/>
        </w:rPr>
        <w:fldChar w:fldCharType="begin"/>
      </w:r>
      <w:r w:rsidRPr="00180C50">
        <w:rPr>
          <w:sz w:val="20"/>
        </w:rPr>
        <w:instrText xml:space="preserve"> MACROBUTTON optional </w:instrText>
      </w:r>
      <w:r w:rsidRPr="00180C50">
        <w:rPr>
          <w:sz w:val="20"/>
        </w:rPr>
        <w:fldChar w:fldCharType="end"/>
      </w:r>
      <w:bookmarkEnd w:id="140"/>
    </w:p>
    <w:p w14:paraId="451642E7" w14:textId="77777777" w:rsidR="00D91E42" w:rsidRPr="00180C50" w:rsidRDefault="00D91E42" w:rsidP="006D75F3">
      <w:pPr>
        <w:pStyle w:val="TitleClause"/>
        <w:numPr>
          <w:ilvl w:val="0"/>
          <w:numId w:val="0"/>
        </w:numPr>
        <w:spacing w:before="0" w:after="0" w:line="20" w:lineRule="atLeast"/>
        <w:ind w:left="720"/>
        <w:rPr>
          <w:sz w:val="20"/>
        </w:rPr>
      </w:pPr>
    </w:p>
    <w:p w14:paraId="7B143055" w14:textId="514B6238" w:rsidR="00F96AC2" w:rsidRPr="00180C50" w:rsidRDefault="00000000" w:rsidP="006D75F3">
      <w:pPr>
        <w:pStyle w:val="Untitledsubclause1"/>
        <w:spacing w:before="0" w:after="0" w:line="20" w:lineRule="atLeast"/>
        <w:rPr>
          <w:sz w:val="20"/>
        </w:rPr>
      </w:pPr>
      <w:bookmarkStart w:id="141" w:name="a836910"/>
      <w:r w:rsidRPr="00180C50">
        <w:rPr>
          <w:sz w:val="20"/>
        </w:rPr>
        <w:t xml:space="preserve">The Data Discloser and Data Receiver undertake to indemnify each other and hold each other harmless from any cost, charge, damages, expense or loss which they cause each other as a result of their breach of any of the provisions of this Agreement, except to the extent that any such liability is excluded under </w:t>
      </w:r>
      <w:r w:rsidRPr="00180C50">
        <w:rPr>
          <w:sz w:val="20"/>
        </w:rPr>
        <w:fldChar w:fldCharType="begin"/>
      </w:r>
      <w:r w:rsidRPr="00180C50">
        <w:rPr>
          <w:sz w:val="20"/>
        </w:rPr>
        <w:instrText>PAGEREF a683705\# "'clause '"  \h</w:instrText>
      </w:r>
      <w:r w:rsidRPr="00180C50">
        <w:rPr>
          <w:sz w:val="20"/>
        </w:rPr>
      </w:r>
      <w:r w:rsidRPr="00180C50">
        <w:rPr>
          <w:sz w:val="20"/>
        </w:rPr>
        <w:fldChar w:fldCharType="separate"/>
      </w:r>
      <w:r w:rsidRPr="00180C50">
        <w:rPr>
          <w:sz w:val="20"/>
        </w:rPr>
        <w:t xml:space="preserve">clause </w:t>
      </w:r>
      <w:r w:rsidRPr="00180C50">
        <w:rPr>
          <w:sz w:val="20"/>
        </w:rPr>
        <w:fldChar w:fldCharType="end"/>
      </w:r>
      <w:r w:rsidRPr="00180C50">
        <w:rPr>
          <w:sz w:val="20"/>
        </w:rPr>
        <w:fldChar w:fldCharType="begin"/>
      </w:r>
      <w:r w:rsidRPr="00180C50">
        <w:rPr>
          <w:sz w:val="20"/>
        </w:rPr>
        <w:instrText>REF a683705 \h \w</w:instrText>
      </w:r>
      <w:r w:rsidR="00B8782F" w:rsidRPr="00180C50">
        <w:rPr>
          <w:sz w:val="20"/>
        </w:rPr>
        <w:instrText xml:space="preserve"> \* MERGEFORMAT </w:instrText>
      </w:r>
      <w:r w:rsidRPr="00180C50">
        <w:rPr>
          <w:sz w:val="20"/>
        </w:rPr>
      </w:r>
      <w:r w:rsidRPr="00180C50">
        <w:rPr>
          <w:sz w:val="20"/>
        </w:rPr>
        <w:fldChar w:fldCharType="separate"/>
      </w:r>
      <w:r w:rsidRPr="00180C50">
        <w:rPr>
          <w:sz w:val="20"/>
        </w:rPr>
        <w:t>18.2</w:t>
      </w:r>
      <w:r w:rsidRPr="00180C50">
        <w:rPr>
          <w:sz w:val="20"/>
        </w:rPr>
        <w:fldChar w:fldCharType="end"/>
      </w:r>
      <w:r w:rsidRPr="00180C50">
        <w:rPr>
          <w:sz w:val="20"/>
        </w:rPr>
        <w:t>.</w:t>
      </w:r>
      <w:r w:rsidRPr="00180C50">
        <w:rPr>
          <w:sz w:val="20"/>
        </w:rPr>
        <w:fldChar w:fldCharType="begin"/>
      </w:r>
      <w:r w:rsidRPr="00180C50">
        <w:rPr>
          <w:sz w:val="20"/>
        </w:rPr>
        <w:fldChar w:fldCharType="end"/>
      </w:r>
      <w:bookmarkEnd w:id="141"/>
    </w:p>
    <w:p w14:paraId="3DA49EC9" w14:textId="77777777" w:rsidR="00D91E42" w:rsidRPr="00180C50" w:rsidRDefault="00D91E42" w:rsidP="006D75F3">
      <w:pPr>
        <w:pStyle w:val="Untitledsubclause1"/>
        <w:numPr>
          <w:ilvl w:val="0"/>
          <w:numId w:val="0"/>
        </w:numPr>
        <w:spacing w:before="0" w:after="0" w:line="20" w:lineRule="atLeast"/>
        <w:ind w:left="720"/>
        <w:rPr>
          <w:sz w:val="20"/>
        </w:rPr>
      </w:pPr>
    </w:p>
    <w:p w14:paraId="508F175A" w14:textId="424E4F77" w:rsidR="00F96AC2" w:rsidRPr="00180C50" w:rsidRDefault="00000000" w:rsidP="006D75F3">
      <w:pPr>
        <w:pStyle w:val="Untitledsubclause1"/>
        <w:spacing w:before="0" w:after="0" w:line="20" w:lineRule="atLeast"/>
        <w:rPr>
          <w:sz w:val="20"/>
        </w:rPr>
      </w:pPr>
      <w:bookmarkStart w:id="142" w:name="a186572"/>
      <w:r w:rsidRPr="00180C50">
        <w:rPr>
          <w:sz w:val="20"/>
        </w:rPr>
        <w:t>Indemnification hereunder is contingent upon</w:t>
      </w:r>
      <w:r w:rsidRPr="00180C50">
        <w:rPr>
          <w:sz w:val="20"/>
        </w:rPr>
        <w:fldChar w:fldCharType="begin"/>
      </w:r>
      <w:r w:rsidRPr="00180C50">
        <w:rPr>
          <w:sz w:val="20"/>
        </w:rPr>
        <w:instrText xml:space="preserve"> MACROBUTTON optional </w:instrText>
      </w:r>
      <w:r w:rsidRPr="00180C50">
        <w:rPr>
          <w:sz w:val="20"/>
        </w:rPr>
        <w:fldChar w:fldCharType="end"/>
      </w:r>
      <w:r w:rsidRPr="00180C50">
        <w:rPr>
          <w:sz w:val="20"/>
        </w:rPr>
        <w:t>:</w:t>
      </w:r>
      <w:bookmarkEnd w:id="142"/>
    </w:p>
    <w:p w14:paraId="125A461E" w14:textId="77777777" w:rsidR="00D91E42" w:rsidRPr="00180C50" w:rsidRDefault="00D91E42" w:rsidP="006D75F3">
      <w:pPr>
        <w:pStyle w:val="Untitledsubclause1"/>
        <w:numPr>
          <w:ilvl w:val="0"/>
          <w:numId w:val="0"/>
        </w:numPr>
        <w:spacing w:before="0" w:after="0" w:line="20" w:lineRule="atLeast"/>
        <w:ind w:left="720"/>
        <w:rPr>
          <w:sz w:val="20"/>
        </w:rPr>
      </w:pPr>
    </w:p>
    <w:p w14:paraId="1C7FB5E2" w14:textId="77777777" w:rsidR="00F96AC2" w:rsidRPr="00180C50" w:rsidRDefault="00000000" w:rsidP="006D75F3">
      <w:pPr>
        <w:pStyle w:val="Untitledsubclause2"/>
        <w:spacing w:after="0" w:line="20" w:lineRule="atLeast"/>
        <w:rPr>
          <w:sz w:val="20"/>
        </w:rPr>
      </w:pPr>
      <w:bookmarkStart w:id="143" w:name="a958526"/>
      <w:r w:rsidRPr="00180C50">
        <w:rPr>
          <w:sz w:val="20"/>
        </w:rPr>
        <w:t>the party(</w:t>
      </w:r>
      <w:proofErr w:type="spellStart"/>
      <w:r w:rsidRPr="00180C50">
        <w:rPr>
          <w:sz w:val="20"/>
        </w:rPr>
        <w:t>ies</w:t>
      </w:r>
      <w:proofErr w:type="spellEnd"/>
      <w:r w:rsidRPr="00180C50">
        <w:rPr>
          <w:sz w:val="20"/>
        </w:rPr>
        <w:t xml:space="preserve">) to be indemnified (the </w:t>
      </w:r>
      <w:r w:rsidRPr="00180C50">
        <w:rPr>
          <w:rStyle w:val="DefTerm"/>
          <w:rFonts w:eastAsiaTheme="majorEastAsia"/>
          <w:sz w:val="20"/>
        </w:rPr>
        <w:t>indemnified party(</w:t>
      </w:r>
      <w:proofErr w:type="spellStart"/>
      <w:r w:rsidRPr="00180C50">
        <w:rPr>
          <w:rStyle w:val="DefTerm"/>
          <w:rFonts w:eastAsiaTheme="majorEastAsia"/>
          <w:sz w:val="20"/>
        </w:rPr>
        <w:t>ies</w:t>
      </w:r>
      <w:proofErr w:type="spellEnd"/>
      <w:r w:rsidRPr="00180C50">
        <w:rPr>
          <w:rStyle w:val="DefTerm"/>
          <w:rFonts w:eastAsiaTheme="majorEastAsia"/>
          <w:sz w:val="20"/>
        </w:rPr>
        <w:t>)</w:t>
      </w:r>
      <w:r w:rsidRPr="00180C50">
        <w:rPr>
          <w:sz w:val="20"/>
        </w:rPr>
        <w:t>) promptly notifying the other party(</w:t>
      </w:r>
      <w:proofErr w:type="spellStart"/>
      <w:r w:rsidRPr="00180C50">
        <w:rPr>
          <w:sz w:val="20"/>
        </w:rPr>
        <w:t>ies</w:t>
      </w:r>
      <w:proofErr w:type="spellEnd"/>
      <w:r w:rsidRPr="00180C50">
        <w:rPr>
          <w:sz w:val="20"/>
        </w:rPr>
        <w:t xml:space="preserve">) (the </w:t>
      </w:r>
      <w:r w:rsidRPr="00180C50">
        <w:rPr>
          <w:rStyle w:val="DefTerm"/>
          <w:rFonts w:eastAsiaTheme="majorEastAsia"/>
          <w:sz w:val="20"/>
        </w:rPr>
        <w:t>indemnifying party(</w:t>
      </w:r>
      <w:proofErr w:type="spellStart"/>
      <w:r w:rsidRPr="00180C50">
        <w:rPr>
          <w:rStyle w:val="DefTerm"/>
          <w:rFonts w:eastAsiaTheme="majorEastAsia"/>
          <w:sz w:val="20"/>
        </w:rPr>
        <w:t>ies</w:t>
      </w:r>
      <w:proofErr w:type="spellEnd"/>
      <w:r w:rsidRPr="00180C50">
        <w:rPr>
          <w:rStyle w:val="DefTerm"/>
          <w:rFonts w:eastAsiaTheme="majorEastAsia"/>
          <w:sz w:val="20"/>
        </w:rPr>
        <w:t>)</w:t>
      </w:r>
      <w:r w:rsidRPr="00180C50">
        <w:rPr>
          <w:sz w:val="20"/>
        </w:rPr>
        <w:t>) of a claim,</w:t>
      </w:r>
      <w:bookmarkEnd w:id="143"/>
    </w:p>
    <w:p w14:paraId="2C692FA0" w14:textId="77777777" w:rsidR="00D91E42" w:rsidRPr="00180C50" w:rsidRDefault="00D91E42" w:rsidP="006D75F3">
      <w:pPr>
        <w:pStyle w:val="Untitledsubclause2"/>
        <w:numPr>
          <w:ilvl w:val="0"/>
          <w:numId w:val="0"/>
        </w:numPr>
        <w:spacing w:after="0" w:line="20" w:lineRule="atLeast"/>
        <w:ind w:left="1555"/>
        <w:rPr>
          <w:sz w:val="20"/>
        </w:rPr>
      </w:pPr>
    </w:p>
    <w:p w14:paraId="6A715EF0" w14:textId="77777777" w:rsidR="00F96AC2" w:rsidRPr="00180C50" w:rsidRDefault="00000000" w:rsidP="006D75F3">
      <w:pPr>
        <w:pStyle w:val="Untitledsubclause2"/>
        <w:spacing w:after="0" w:line="20" w:lineRule="atLeast"/>
        <w:rPr>
          <w:sz w:val="20"/>
        </w:rPr>
      </w:pPr>
      <w:bookmarkStart w:id="144" w:name="a419549"/>
      <w:r w:rsidRPr="00180C50">
        <w:rPr>
          <w:sz w:val="20"/>
        </w:rPr>
        <w:t>the indemnifying party(</w:t>
      </w:r>
      <w:proofErr w:type="spellStart"/>
      <w:r w:rsidRPr="00180C50">
        <w:rPr>
          <w:sz w:val="20"/>
        </w:rPr>
        <w:t>ies</w:t>
      </w:r>
      <w:proofErr w:type="spellEnd"/>
      <w:r w:rsidRPr="00180C50">
        <w:rPr>
          <w:sz w:val="20"/>
        </w:rPr>
        <w:t>) having sole control of the defence and settlement of any such claim, and</w:t>
      </w:r>
      <w:bookmarkEnd w:id="144"/>
    </w:p>
    <w:p w14:paraId="72C1673E" w14:textId="77777777" w:rsidR="00D91E42" w:rsidRPr="00180C50" w:rsidRDefault="00D91E42" w:rsidP="006D75F3">
      <w:pPr>
        <w:pStyle w:val="Untitledsubclause2"/>
        <w:numPr>
          <w:ilvl w:val="0"/>
          <w:numId w:val="0"/>
        </w:numPr>
        <w:spacing w:after="0" w:line="20" w:lineRule="atLeast"/>
        <w:rPr>
          <w:sz w:val="20"/>
        </w:rPr>
      </w:pPr>
    </w:p>
    <w:p w14:paraId="1A54141A" w14:textId="3366AACA" w:rsidR="00F96AC2" w:rsidRPr="00180C50" w:rsidRDefault="00000000" w:rsidP="006D75F3">
      <w:pPr>
        <w:pStyle w:val="Untitledsubclause2"/>
        <w:spacing w:after="0" w:line="20" w:lineRule="atLeast"/>
        <w:rPr>
          <w:sz w:val="20"/>
        </w:rPr>
      </w:pPr>
      <w:bookmarkStart w:id="145" w:name="a325189"/>
      <w:r w:rsidRPr="00180C50">
        <w:rPr>
          <w:sz w:val="20"/>
        </w:rPr>
        <w:t>the indemnified party(</w:t>
      </w:r>
      <w:proofErr w:type="spellStart"/>
      <w:r w:rsidRPr="00180C50">
        <w:rPr>
          <w:sz w:val="20"/>
        </w:rPr>
        <w:t>ies</w:t>
      </w:r>
      <w:proofErr w:type="spellEnd"/>
      <w:r w:rsidRPr="00180C50">
        <w:rPr>
          <w:sz w:val="20"/>
        </w:rPr>
        <w:t>) providing reasonable co-operation and assistance to the indemnifying party(</w:t>
      </w:r>
      <w:proofErr w:type="spellStart"/>
      <w:r w:rsidRPr="00180C50">
        <w:rPr>
          <w:sz w:val="20"/>
        </w:rPr>
        <w:t>ies</w:t>
      </w:r>
      <w:proofErr w:type="spellEnd"/>
      <w:r w:rsidRPr="00180C50">
        <w:rPr>
          <w:sz w:val="20"/>
        </w:rPr>
        <w:t>) in defence of such claim.</w:t>
      </w:r>
      <w:bookmarkEnd w:id="145"/>
    </w:p>
    <w:p w14:paraId="7EBB1450" w14:textId="77777777" w:rsidR="00D91E42" w:rsidRPr="00180C50" w:rsidRDefault="00D91E42" w:rsidP="006D75F3">
      <w:pPr>
        <w:pStyle w:val="Untitledsubclause2"/>
        <w:numPr>
          <w:ilvl w:val="0"/>
          <w:numId w:val="0"/>
        </w:numPr>
        <w:spacing w:after="0" w:line="20" w:lineRule="atLeast"/>
        <w:ind w:left="1555"/>
        <w:rPr>
          <w:sz w:val="20"/>
        </w:rPr>
      </w:pPr>
    </w:p>
    <w:p w14:paraId="2693E70A" w14:textId="04B2D65C" w:rsidR="00F96AC2" w:rsidRPr="00180C50" w:rsidRDefault="00000000" w:rsidP="006D75F3">
      <w:pPr>
        <w:pStyle w:val="TitleClause"/>
        <w:spacing w:before="0" w:after="0" w:line="20" w:lineRule="atLeast"/>
        <w:rPr>
          <w:sz w:val="20"/>
        </w:rPr>
      </w:pPr>
      <w:r w:rsidRPr="00180C50">
        <w:rPr>
          <w:sz w:val="20"/>
        </w:rPr>
        <w:fldChar w:fldCharType="begin"/>
      </w:r>
      <w:r w:rsidRPr="00180C50">
        <w:rPr>
          <w:sz w:val="20"/>
        </w:rPr>
        <w:instrText>TC "17. Allocation of cost" \l 1</w:instrText>
      </w:r>
      <w:r w:rsidRPr="00180C50">
        <w:rPr>
          <w:sz w:val="20"/>
        </w:rPr>
        <w:fldChar w:fldCharType="end"/>
      </w:r>
      <w:bookmarkStart w:id="146" w:name="_Toc256000016"/>
      <w:bookmarkStart w:id="147" w:name="a816874"/>
      <w:r w:rsidR="00D91E42" w:rsidRPr="00180C50">
        <w:rPr>
          <w:sz w:val="20"/>
        </w:rPr>
        <w:t>ALLOCATION OF COST</w:t>
      </w:r>
      <w:bookmarkEnd w:id="146"/>
      <w:r w:rsidRPr="00180C50">
        <w:rPr>
          <w:sz w:val="20"/>
        </w:rPr>
        <w:fldChar w:fldCharType="begin"/>
      </w:r>
      <w:r w:rsidRPr="00180C50">
        <w:rPr>
          <w:sz w:val="20"/>
        </w:rPr>
        <w:instrText xml:space="preserve"> MACROBUTTON optional </w:instrText>
      </w:r>
      <w:r w:rsidRPr="00180C50">
        <w:rPr>
          <w:sz w:val="20"/>
        </w:rPr>
        <w:fldChar w:fldCharType="end"/>
      </w:r>
      <w:bookmarkEnd w:id="147"/>
    </w:p>
    <w:p w14:paraId="1BEDF4C9" w14:textId="77777777" w:rsidR="00D91E42" w:rsidRPr="00180C50" w:rsidRDefault="00D91E42" w:rsidP="006D75F3">
      <w:pPr>
        <w:pStyle w:val="TitleClause"/>
        <w:numPr>
          <w:ilvl w:val="0"/>
          <w:numId w:val="0"/>
        </w:numPr>
        <w:spacing w:before="0" w:after="0" w:line="20" w:lineRule="atLeast"/>
        <w:ind w:left="720"/>
        <w:rPr>
          <w:sz w:val="20"/>
        </w:rPr>
      </w:pPr>
    </w:p>
    <w:p w14:paraId="131329F3" w14:textId="5BD64C21" w:rsidR="00F96AC2" w:rsidRPr="006D75F3" w:rsidRDefault="00000000" w:rsidP="006D75F3">
      <w:pPr>
        <w:pStyle w:val="ParaClause"/>
        <w:spacing w:before="0" w:after="0" w:line="20" w:lineRule="atLeast"/>
        <w:rPr>
          <w:sz w:val="20"/>
        </w:rPr>
      </w:pPr>
      <w:r w:rsidRPr="00180C50">
        <w:rPr>
          <w:sz w:val="20"/>
        </w:rPr>
        <w:t>Each party shall perform its obligations under this Agreement at its own cost.</w:t>
      </w:r>
    </w:p>
    <w:p w14:paraId="7D59A638" w14:textId="77777777" w:rsidR="00D91E42" w:rsidRPr="006D75F3" w:rsidRDefault="00D91E42" w:rsidP="006D75F3">
      <w:pPr>
        <w:pStyle w:val="ParaClause"/>
        <w:spacing w:before="0" w:after="0" w:line="20" w:lineRule="atLeast"/>
        <w:ind w:left="0"/>
        <w:rPr>
          <w:sz w:val="20"/>
        </w:rPr>
      </w:pPr>
    </w:p>
    <w:p w14:paraId="613D1569" w14:textId="7B30AFFE"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"18. Limitation of liability" \l 1</w:instrText>
      </w:r>
      <w:r w:rsidRPr="006D75F3">
        <w:rPr>
          <w:sz w:val="20"/>
        </w:rPr>
        <w:fldChar w:fldCharType="end"/>
      </w:r>
      <w:bookmarkStart w:id="148" w:name="_Toc256000017"/>
      <w:bookmarkStart w:id="149" w:name="a549750"/>
      <w:r w:rsidR="00D91E42" w:rsidRPr="006D75F3">
        <w:rPr>
          <w:sz w:val="20"/>
        </w:rPr>
        <w:t>LIMITATION OF LIABILITY</w:t>
      </w:r>
      <w:bookmarkEnd w:id="148"/>
      <w:bookmarkEnd w:id="149"/>
    </w:p>
    <w:p w14:paraId="5D2CAC8A" w14:textId="77777777" w:rsidR="00D91E42" w:rsidRPr="006D75F3" w:rsidRDefault="00D91E42" w:rsidP="006D75F3">
      <w:pPr>
        <w:pStyle w:val="TitleClause"/>
        <w:numPr>
          <w:ilvl w:val="0"/>
          <w:numId w:val="0"/>
        </w:numPr>
        <w:spacing w:before="0" w:after="0" w:line="20" w:lineRule="atLeast"/>
        <w:ind w:left="720"/>
        <w:rPr>
          <w:sz w:val="20"/>
        </w:rPr>
      </w:pPr>
    </w:p>
    <w:p w14:paraId="7F6B3794" w14:textId="77777777" w:rsidR="00F96AC2" w:rsidRPr="006D75F3" w:rsidRDefault="00000000" w:rsidP="006D75F3">
      <w:pPr>
        <w:pStyle w:val="Untitledsubclause1"/>
        <w:spacing w:before="0" w:after="0" w:line="20" w:lineRule="atLeast"/>
        <w:rPr>
          <w:sz w:val="20"/>
        </w:rPr>
      </w:pPr>
      <w:bookmarkStart w:id="150" w:name="a512102"/>
      <w:r w:rsidRPr="006D75F3">
        <w:rPr>
          <w:sz w:val="20"/>
        </w:rPr>
        <w:t>Neither party excludes or limits liability to the other party for:</w:t>
      </w:r>
      <w:bookmarkEnd w:id="150"/>
    </w:p>
    <w:p w14:paraId="38EA9399" w14:textId="77777777" w:rsidR="00D91E42" w:rsidRPr="006D75F3" w:rsidRDefault="00D91E42" w:rsidP="006D75F3">
      <w:pPr>
        <w:pStyle w:val="Untitledsubclause1"/>
        <w:numPr>
          <w:ilvl w:val="0"/>
          <w:numId w:val="0"/>
        </w:numPr>
        <w:spacing w:before="0" w:after="0" w:line="20" w:lineRule="atLeast"/>
        <w:ind w:left="720"/>
        <w:rPr>
          <w:sz w:val="20"/>
        </w:rPr>
      </w:pPr>
    </w:p>
    <w:p w14:paraId="4F40322F" w14:textId="77777777" w:rsidR="00F96AC2" w:rsidRPr="006D75F3" w:rsidRDefault="00000000" w:rsidP="006D75F3">
      <w:pPr>
        <w:pStyle w:val="Untitledsubclause2"/>
        <w:spacing w:after="0" w:line="20" w:lineRule="atLeast"/>
        <w:rPr>
          <w:sz w:val="20"/>
        </w:rPr>
      </w:pPr>
      <w:bookmarkStart w:id="151" w:name="a733358"/>
      <w:r w:rsidRPr="006D75F3">
        <w:rPr>
          <w:sz w:val="20"/>
        </w:rPr>
        <w:t xml:space="preserve">fraud or fraudulent </w:t>
      </w:r>
      <w:proofErr w:type="gramStart"/>
      <w:r w:rsidRPr="006D75F3">
        <w:rPr>
          <w:sz w:val="20"/>
        </w:rPr>
        <w:t>misrepresentation;</w:t>
      </w:r>
      <w:bookmarkEnd w:id="151"/>
      <w:proofErr w:type="gramEnd"/>
    </w:p>
    <w:p w14:paraId="4F363BAF" w14:textId="77777777" w:rsidR="00D91E42" w:rsidRPr="006D75F3" w:rsidRDefault="00D91E42" w:rsidP="006D75F3">
      <w:pPr>
        <w:pStyle w:val="Untitledsubclause2"/>
        <w:numPr>
          <w:ilvl w:val="0"/>
          <w:numId w:val="0"/>
        </w:numPr>
        <w:spacing w:after="0" w:line="20" w:lineRule="atLeast"/>
        <w:ind w:left="1555"/>
        <w:rPr>
          <w:sz w:val="20"/>
        </w:rPr>
      </w:pPr>
    </w:p>
    <w:p w14:paraId="6CD21402" w14:textId="77777777" w:rsidR="00F96AC2" w:rsidRPr="006D75F3" w:rsidRDefault="00000000" w:rsidP="006D75F3">
      <w:pPr>
        <w:pStyle w:val="Untitledsubclause2"/>
        <w:spacing w:after="0" w:line="20" w:lineRule="atLeast"/>
        <w:rPr>
          <w:sz w:val="20"/>
        </w:rPr>
      </w:pPr>
      <w:bookmarkStart w:id="152" w:name="a328172"/>
      <w:r w:rsidRPr="006D75F3">
        <w:rPr>
          <w:sz w:val="20"/>
        </w:rPr>
        <w:t xml:space="preserve">death or personal injury caused by </w:t>
      </w:r>
      <w:proofErr w:type="gramStart"/>
      <w:r w:rsidRPr="006D75F3">
        <w:rPr>
          <w:sz w:val="20"/>
        </w:rPr>
        <w:t>negligence;</w:t>
      </w:r>
      <w:bookmarkEnd w:id="152"/>
      <w:proofErr w:type="gramEnd"/>
    </w:p>
    <w:p w14:paraId="0E4AF398" w14:textId="77777777" w:rsidR="00D91E42" w:rsidRPr="006D75F3" w:rsidRDefault="00D91E42" w:rsidP="006D75F3">
      <w:pPr>
        <w:pStyle w:val="Untitledsubclause2"/>
        <w:numPr>
          <w:ilvl w:val="0"/>
          <w:numId w:val="0"/>
        </w:numPr>
        <w:spacing w:after="0" w:line="20" w:lineRule="atLeast"/>
        <w:rPr>
          <w:sz w:val="20"/>
        </w:rPr>
      </w:pPr>
    </w:p>
    <w:p w14:paraId="52566FE2" w14:textId="77777777" w:rsidR="00F96AC2" w:rsidRPr="006D75F3" w:rsidRDefault="00000000" w:rsidP="006D75F3">
      <w:pPr>
        <w:pStyle w:val="Untitledsubclause2"/>
        <w:spacing w:after="0" w:line="20" w:lineRule="atLeast"/>
        <w:rPr>
          <w:sz w:val="20"/>
        </w:rPr>
      </w:pPr>
      <w:bookmarkStart w:id="153" w:name="a697688"/>
      <w:r w:rsidRPr="006D75F3">
        <w:rPr>
          <w:sz w:val="20"/>
        </w:rPr>
        <w:t>a breach of any obligations implied by section 12 of the Sale of Goods Act 1979 or section 2 of the Supply of Goods and Services Act 1982; or</w:t>
      </w:r>
      <w:bookmarkEnd w:id="153"/>
    </w:p>
    <w:p w14:paraId="1E18A8ED" w14:textId="77777777" w:rsidR="00D91E42" w:rsidRPr="006D75F3" w:rsidRDefault="00D91E42" w:rsidP="006D75F3">
      <w:pPr>
        <w:pStyle w:val="Untitledsubclause2"/>
        <w:numPr>
          <w:ilvl w:val="0"/>
          <w:numId w:val="0"/>
        </w:numPr>
        <w:spacing w:after="0" w:line="20" w:lineRule="atLeast"/>
        <w:rPr>
          <w:sz w:val="20"/>
        </w:rPr>
      </w:pPr>
    </w:p>
    <w:p w14:paraId="590F2550" w14:textId="77777777" w:rsidR="00F96AC2" w:rsidRPr="006D75F3" w:rsidRDefault="00000000" w:rsidP="006D75F3">
      <w:pPr>
        <w:pStyle w:val="Untitledsubclause2"/>
        <w:spacing w:after="0" w:line="20" w:lineRule="atLeast"/>
        <w:rPr>
          <w:sz w:val="20"/>
        </w:rPr>
      </w:pPr>
      <w:bookmarkStart w:id="154" w:name="a887036"/>
      <w:r w:rsidRPr="006D75F3">
        <w:rPr>
          <w:sz w:val="20"/>
        </w:rPr>
        <w:t>any matter for which it would be unlawful for the parties to exclude liability.</w:t>
      </w:r>
      <w:bookmarkEnd w:id="154"/>
    </w:p>
    <w:p w14:paraId="6F00E12F" w14:textId="77777777" w:rsidR="00D91E42" w:rsidRPr="006D75F3" w:rsidRDefault="00D91E42" w:rsidP="006D75F3">
      <w:pPr>
        <w:pStyle w:val="Untitledsubclause2"/>
        <w:numPr>
          <w:ilvl w:val="0"/>
          <w:numId w:val="0"/>
        </w:numPr>
        <w:spacing w:after="0" w:line="20" w:lineRule="atLeast"/>
        <w:rPr>
          <w:sz w:val="20"/>
        </w:rPr>
      </w:pPr>
    </w:p>
    <w:p w14:paraId="351763B3" w14:textId="77777777" w:rsidR="00F96AC2" w:rsidRPr="006D75F3" w:rsidRDefault="00000000" w:rsidP="006D75F3">
      <w:pPr>
        <w:pStyle w:val="Untitledsubclause1"/>
        <w:spacing w:before="0" w:after="0" w:line="20" w:lineRule="atLeast"/>
        <w:rPr>
          <w:sz w:val="20"/>
        </w:rPr>
      </w:pPr>
      <w:bookmarkStart w:id="155" w:name="a683705"/>
      <w:r w:rsidRPr="006D75F3">
        <w:rPr>
          <w:sz w:val="20"/>
        </w:rPr>
        <w:t>Subject to clause 18.1, neither party shall in any circumstances be liable whether in contract, tort (including for negligence and breach of statutory duty howsoever arising), misrepresentation (whether innocent or negligent), restitution or otherwise, for:</w:t>
      </w:r>
      <w:bookmarkEnd w:id="155"/>
    </w:p>
    <w:p w14:paraId="2D9BA0E3" w14:textId="77777777" w:rsidR="00D91E42" w:rsidRPr="006D75F3" w:rsidRDefault="00D91E42" w:rsidP="006D75F3">
      <w:pPr>
        <w:pStyle w:val="Untitledsubclause1"/>
        <w:numPr>
          <w:ilvl w:val="0"/>
          <w:numId w:val="0"/>
        </w:numPr>
        <w:spacing w:before="0" w:after="0" w:line="20" w:lineRule="atLeast"/>
        <w:ind w:left="720"/>
        <w:rPr>
          <w:sz w:val="20"/>
        </w:rPr>
      </w:pPr>
    </w:p>
    <w:p w14:paraId="5D58AA9C" w14:textId="77777777" w:rsidR="00F96AC2" w:rsidRPr="006D75F3" w:rsidRDefault="00000000" w:rsidP="006D75F3">
      <w:pPr>
        <w:pStyle w:val="Untitledsubclause2"/>
        <w:spacing w:after="0" w:line="20" w:lineRule="atLeast"/>
        <w:rPr>
          <w:sz w:val="20"/>
        </w:rPr>
      </w:pPr>
      <w:bookmarkStart w:id="156" w:name="a755096"/>
      <w:r w:rsidRPr="006D75F3">
        <w:rPr>
          <w:sz w:val="20"/>
        </w:rPr>
        <w:t xml:space="preserve">any loss (whether direct or indirect) of profits, business, business opportunities, revenue, turnover, reputation or </w:t>
      </w:r>
      <w:proofErr w:type="gramStart"/>
      <w:r w:rsidRPr="006D75F3">
        <w:rPr>
          <w:sz w:val="20"/>
        </w:rPr>
        <w:t>goodwill;</w:t>
      </w:r>
      <w:bookmarkEnd w:id="156"/>
      <w:proofErr w:type="gramEnd"/>
    </w:p>
    <w:p w14:paraId="0013F9AC" w14:textId="77777777" w:rsidR="00D91E42" w:rsidRPr="006D75F3" w:rsidRDefault="00D91E42" w:rsidP="006D75F3">
      <w:pPr>
        <w:pStyle w:val="Untitledsubclause2"/>
        <w:numPr>
          <w:ilvl w:val="0"/>
          <w:numId w:val="0"/>
        </w:numPr>
        <w:spacing w:after="0" w:line="20" w:lineRule="atLeast"/>
        <w:ind w:left="1555"/>
        <w:rPr>
          <w:sz w:val="20"/>
        </w:rPr>
      </w:pPr>
    </w:p>
    <w:p w14:paraId="2D9601AF" w14:textId="77777777" w:rsidR="00F96AC2" w:rsidRPr="006D75F3" w:rsidRDefault="00000000" w:rsidP="006D75F3">
      <w:pPr>
        <w:pStyle w:val="Untitledsubclause2"/>
        <w:spacing w:after="0" w:line="20" w:lineRule="atLeast"/>
        <w:rPr>
          <w:sz w:val="20"/>
        </w:rPr>
      </w:pPr>
      <w:bookmarkStart w:id="157" w:name="a486640"/>
      <w:r w:rsidRPr="006D75F3">
        <w:rPr>
          <w:sz w:val="20"/>
        </w:rPr>
        <w:t>loss (whether direct or indirect) of anticipated savings or wasted expenditure (including management time); or</w:t>
      </w:r>
      <w:bookmarkEnd w:id="157"/>
    </w:p>
    <w:p w14:paraId="35302D28" w14:textId="77777777" w:rsidR="00D91E42" w:rsidRPr="006D75F3" w:rsidRDefault="00D91E42" w:rsidP="006D75F3">
      <w:pPr>
        <w:pStyle w:val="Untitledsubclause2"/>
        <w:numPr>
          <w:ilvl w:val="0"/>
          <w:numId w:val="0"/>
        </w:numPr>
        <w:spacing w:after="0" w:line="20" w:lineRule="atLeast"/>
        <w:rPr>
          <w:sz w:val="20"/>
        </w:rPr>
      </w:pPr>
    </w:p>
    <w:p w14:paraId="6ECB5656" w14:textId="77777777" w:rsidR="00F96AC2" w:rsidRPr="006D75F3" w:rsidRDefault="00000000" w:rsidP="006D75F3">
      <w:pPr>
        <w:pStyle w:val="Untitledsubclause2"/>
        <w:spacing w:after="0" w:line="20" w:lineRule="atLeast"/>
        <w:rPr>
          <w:sz w:val="20"/>
        </w:rPr>
      </w:pPr>
      <w:bookmarkStart w:id="158" w:name="a939325"/>
      <w:r w:rsidRPr="006D75F3">
        <w:rPr>
          <w:sz w:val="20"/>
        </w:rPr>
        <w:t>any loss or liability (whether direct or indirect) under or in relation to any other contract.</w:t>
      </w:r>
      <w:bookmarkEnd w:id="158"/>
    </w:p>
    <w:p w14:paraId="7DE4E7FB" w14:textId="77777777" w:rsidR="00D91E42" w:rsidRPr="006D75F3" w:rsidRDefault="00D91E42" w:rsidP="006D75F3">
      <w:pPr>
        <w:pStyle w:val="Untitledsubclause2"/>
        <w:numPr>
          <w:ilvl w:val="0"/>
          <w:numId w:val="0"/>
        </w:numPr>
        <w:spacing w:after="0" w:line="20" w:lineRule="atLeast"/>
        <w:rPr>
          <w:sz w:val="20"/>
        </w:rPr>
      </w:pPr>
    </w:p>
    <w:p w14:paraId="09BC1130" w14:textId="6B17CEA3" w:rsidR="00F96AC2" w:rsidRPr="006D75F3" w:rsidRDefault="00000000" w:rsidP="006D75F3">
      <w:pPr>
        <w:pStyle w:val="Untitledsubclause1"/>
        <w:spacing w:before="0" w:after="0" w:line="20" w:lineRule="atLeast"/>
        <w:rPr>
          <w:i/>
          <w:sz w:val="20"/>
        </w:rPr>
      </w:pPr>
      <w:r w:rsidRPr="006D75F3">
        <w:rPr>
          <w:sz w:val="20"/>
        </w:rPr>
        <w:fldChar w:fldCharType="begin"/>
      </w:r>
      <w:r w:rsidRPr="006D75F3">
        <w:rPr>
          <w:sz w:val="20"/>
        </w:rPr>
        <w:instrText>PAGEREF a683705\# "'Clause '"  \h</w:instrText>
      </w:r>
      <w:r w:rsidRPr="006D75F3">
        <w:rPr>
          <w:sz w:val="20"/>
        </w:rPr>
      </w:r>
      <w:r w:rsidRPr="006D75F3">
        <w:rPr>
          <w:sz w:val="20"/>
        </w:rPr>
        <w:fldChar w:fldCharType="separate"/>
      </w:r>
      <w:r w:rsidRPr="006D75F3">
        <w:rPr>
          <w:sz w:val="20"/>
        </w:rPr>
        <w:t xml:space="preserve">Clause </w:t>
      </w:r>
      <w:r w:rsidRPr="006D75F3">
        <w:rPr>
          <w:sz w:val="20"/>
        </w:rPr>
        <w:fldChar w:fldCharType="end"/>
      </w:r>
      <w:bookmarkStart w:id="159" w:name="a736818"/>
      <w:r w:rsidRPr="006D75F3">
        <w:rPr>
          <w:sz w:val="20"/>
        </w:rPr>
        <w:fldChar w:fldCharType="begin"/>
      </w:r>
      <w:r w:rsidRPr="006D75F3">
        <w:rPr>
          <w:sz w:val="20"/>
          <w:highlight w:val="lightGray"/>
        </w:rPr>
        <w:instrText>REF a683705 \h \w</w:instrText>
      </w:r>
      <w:r w:rsidR="00B8782F" w:rsidRPr="006D75F3">
        <w:rPr>
          <w:sz w:val="20"/>
        </w:rPr>
        <w:instrText xml:space="preserve"> \* MERGEFORMAT </w:instrText>
      </w:r>
      <w:r w:rsidRPr="006D75F3">
        <w:rPr>
          <w:sz w:val="20"/>
        </w:rPr>
      </w:r>
      <w:r w:rsidRPr="006D75F3">
        <w:rPr>
          <w:sz w:val="20"/>
        </w:rPr>
        <w:fldChar w:fldCharType="separate"/>
      </w:r>
      <w:r w:rsidRPr="006D75F3">
        <w:rPr>
          <w:sz w:val="20"/>
        </w:rPr>
        <w:t>18.2</w:t>
      </w:r>
      <w:r w:rsidRPr="006D75F3">
        <w:rPr>
          <w:sz w:val="20"/>
        </w:rPr>
        <w:fldChar w:fldCharType="end"/>
      </w:r>
      <w:r w:rsidRPr="006D75F3">
        <w:rPr>
          <w:sz w:val="20"/>
        </w:rPr>
        <w:t xml:space="preserve"> shall not prevent claims, for:</w:t>
      </w:r>
      <w:bookmarkEnd w:id="159"/>
    </w:p>
    <w:p w14:paraId="0A3B7BFD" w14:textId="77777777" w:rsidR="00D91E42" w:rsidRPr="006D75F3" w:rsidRDefault="00D91E42" w:rsidP="006D75F3">
      <w:pPr>
        <w:pStyle w:val="Untitledsubclause1"/>
        <w:numPr>
          <w:ilvl w:val="0"/>
          <w:numId w:val="0"/>
        </w:numPr>
        <w:spacing w:before="0" w:after="0" w:line="20" w:lineRule="atLeast"/>
        <w:rPr>
          <w:i/>
          <w:sz w:val="20"/>
        </w:rPr>
      </w:pPr>
    </w:p>
    <w:p w14:paraId="0EEC204E" w14:textId="0B5F3EA0" w:rsidR="00F96AC2" w:rsidRPr="006D75F3" w:rsidRDefault="00000000" w:rsidP="006D75F3">
      <w:pPr>
        <w:pStyle w:val="Untitledsubclause2"/>
        <w:spacing w:after="0" w:line="20" w:lineRule="atLeast"/>
        <w:rPr>
          <w:sz w:val="20"/>
        </w:rPr>
      </w:pPr>
      <w:bookmarkStart w:id="160" w:name="a399142"/>
      <w:r w:rsidRPr="006D75F3">
        <w:rPr>
          <w:sz w:val="20"/>
        </w:rPr>
        <w:t xml:space="preserve">direct financial loss that are not excluded under any of the categories set out in </w:t>
      </w:r>
      <w:r w:rsidRPr="006D75F3">
        <w:rPr>
          <w:sz w:val="20"/>
        </w:rPr>
        <w:fldChar w:fldCharType="begin"/>
      </w:r>
      <w:r w:rsidRPr="006D75F3">
        <w:rPr>
          <w:sz w:val="20"/>
        </w:rPr>
        <w:instrText>PAGEREF a755096\# "'clause '"  \h</w:instrText>
      </w:r>
      <w:r w:rsidRPr="006D75F3">
        <w:rPr>
          <w:sz w:val="20"/>
        </w:rPr>
      </w:r>
      <w:r w:rsidRPr="006D75F3">
        <w:rPr>
          <w:sz w:val="20"/>
        </w:rPr>
        <w:fldChar w:fldCharType="separate"/>
      </w:r>
      <w:r w:rsidRPr="006D75F3">
        <w:rPr>
          <w:sz w:val="20"/>
        </w:rPr>
        <w:t xml:space="preserve">clause </w:t>
      </w:r>
      <w:r w:rsidRPr="006D75F3">
        <w:rPr>
          <w:sz w:val="20"/>
        </w:rPr>
        <w:fldChar w:fldCharType="end"/>
      </w:r>
      <w:r w:rsidRPr="006D75F3">
        <w:rPr>
          <w:sz w:val="20"/>
        </w:rPr>
        <w:fldChar w:fldCharType="begin"/>
      </w:r>
      <w:r w:rsidRPr="006D75F3">
        <w:rPr>
          <w:sz w:val="20"/>
          <w:highlight w:val="lightGray"/>
        </w:rPr>
        <w:instrText>REF a755096 \h \w</w:instrText>
      </w:r>
      <w:r w:rsidR="00B8782F" w:rsidRPr="006D75F3">
        <w:rPr>
          <w:sz w:val="20"/>
        </w:rPr>
        <w:instrText xml:space="preserve"> \* MERGEFORMAT </w:instrText>
      </w:r>
      <w:r w:rsidRPr="006D75F3">
        <w:rPr>
          <w:sz w:val="20"/>
        </w:rPr>
      </w:r>
      <w:r w:rsidRPr="006D75F3">
        <w:rPr>
          <w:sz w:val="20"/>
        </w:rPr>
        <w:fldChar w:fldCharType="separate"/>
      </w:r>
      <w:r w:rsidRPr="006D75F3">
        <w:rPr>
          <w:sz w:val="20"/>
        </w:rPr>
        <w:t>18.2(a)</w:t>
      </w:r>
      <w:r w:rsidRPr="006D75F3">
        <w:rPr>
          <w:sz w:val="20"/>
        </w:rPr>
        <w:fldChar w:fldCharType="end"/>
      </w:r>
      <w:r w:rsidRPr="006D75F3">
        <w:rPr>
          <w:sz w:val="20"/>
        </w:rPr>
        <w:t>; or</w:t>
      </w:r>
      <w:bookmarkEnd w:id="160"/>
    </w:p>
    <w:p w14:paraId="3A4BE13D" w14:textId="77777777" w:rsidR="00D91E42" w:rsidRPr="006D75F3" w:rsidRDefault="00D91E42" w:rsidP="006D75F3">
      <w:pPr>
        <w:pStyle w:val="Untitledsubclause2"/>
        <w:numPr>
          <w:ilvl w:val="0"/>
          <w:numId w:val="0"/>
        </w:numPr>
        <w:spacing w:after="0" w:line="20" w:lineRule="atLeast"/>
        <w:ind w:left="1555"/>
        <w:rPr>
          <w:sz w:val="20"/>
        </w:rPr>
      </w:pPr>
    </w:p>
    <w:p w14:paraId="139FF6DA" w14:textId="77777777" w:rsidR="00F96AC2" w:rsidRPr="006D75F3" w:rsidRDefault="00000000" w:rsidP="006D75F3">
      <w:pPr>
        <w:pStyle w:val="Untitledsubclause2"/>
        <w:spacing w:after="0" w:line="20" w:lineRule="atLeast"/>
        <w:rPr>
          <w:sz w:val="20"/>
        </w:rPr>
      </w:pPr>
      <w:bookmarkStart w:id="161" w:name="a676169"/>
      <w:r w:rsidRPr="006D75F3">
        <w:rPr>
          <w:sz w:val="20"/>
        </w:rPr>
        <w:t>tangible property or physical damage.</w:t>
      </w:r>
      <w:bookmarkEnd w:id="161"/>
    </w:p>
    <w:p w14:paraId="31799700" w14:textId="77777777" w:rsidR="00D91E42" w:rsidRPr="006D75F3" w:rsidRDefault="00D91E42" w:rsidP="006D75F3">
      <w:pPr>
        <w:pStyle w:val="Untitledsubclause2"/>
        <w:numPr>
          <w:ilvl w:val="0"/>
          <w:numId w:val="0"/>
        </w:numPr>
        <w:spacing w:after="0" w:line="20" w:lineRule="atLeast"/>
        <w:rPr>
          <w:sz w:val="20"/>
        </w:rPr>
      </w:pPr>
    </w:p>
    <w:p w14:paraId="7ACDCA9B" w14:textId="47337D7B" w:rsidR="00F96AC2" w:rsidRPr="00180C50" w:rsidRDefault="00000000" w:rsidP="006D75F3">
      <w:pPr>
        <w:pStyle w:val="TitleClause"/>
        <w:spacing w:before="0" w:after="0" w:line="20" w:lineRule="atLeast"/>
        <w:rPr>
          <w:sz w:val="20"/>
        </w:rPr>
      </w:pPr>
      <w:r w:rsidRPr="00180C50">
        <w:rPr>
          <w:sz w:val="20"/>
        </w:rPr>
        <w:fldChar w:fldCharType="begin"/>
      </w:r>
      <w:r w:rsidRPr="00180C50">
        <w:rPr>
          <w:sz w:val="20"/>
        </w:rPr>
        <w:instrText>TC "19. Third party rights" \l 1</w:instrText>
      </w:r>
      <w:r w:rsidRPr="00180C50">
        <w:rPr>
          <w:sz w:val="20"/>
        </w:rPr>
        <w:fldChar w:fldCharType="end"/>
      </w:r>
      <w:bookmarkStart w:id="162" w:name="_Toc256000018"/>
      <w:bookmarkStart w:id="163" w:name="a590473"/>
      <w:r w:rsidR="008C62FB" w:rsidRPr="00180C50">
        <w:rPr>
          <w:sz w:val="20"/>
        </w:rPr>
        <w:t>THIRD PARTY RIGHTS</w:t>
      </w:r>
      <w:bookmarkEnd w:id="162"/>
      <w:r w:rsidRPr="00180C50">
        <w:rPr>
          <w:sz w:val="20"/>
        </w:rPr>
        <w:fldChar w:fldCharType="begin"/>
      </w:r>
      <w:r w:rsidRPr="00180C50">
        <w:rPr>
          <w:sz w:val="20"/>
        </w:rPr>
        <w:instrText xml:space="preserve"> MACROBUTTON optional </w:instrText>
      </w:r>
      <w:r w:rsidRPr="00180C50">
        <w:rPr>
          <w:sz w:val="20"/>
        </w:rPr>
        <w:fldChar w:fldCharType="end"/>
      </w:r>
      <w:bookmarkEnd w:id="163"/>
    </w:p>
    <w:p w14:paraId="7D69D5A5" w14:textId="77777777" w:rsidR="008C62FB" w:rsidRPr="00180C50" w:rsidRDefault="008C62FB" w:rsidP="006D75F3">
      <w:pPr>
        <w:pStyle w:val="Parasubclause1"/>
        <w:spacing w:before="0" w:after="0" w:line="20" w:lineRule="atLeast"/>
        <w:ind w:left="0"/>
        <w:rPr>
          <w:b/>
          <w:bCs/>
          <w:sz w:val="20"/>
        </w:rPr>
      </w:pPr>
    </w:p>
    <w:p w14:paraId="059105C2" w14:textId="63A95DD4" w:rsidR="00F96AC2" w:rsidRPr="00180C50" w:rsidRDefault="00000000" w:rsidP="006D75F3">
      <w:pPr>
        <w:pStyle w:val="Parasubclause1"/>
        <w:spacing w:before="0" w:after="0" w:line="20" w:lineRule="atLeast"/>
        <w:rPr>
          <w:sz w:val="20"/>
        </w:rPr>
      </w:pPr>
      <w:r w:rsidRPr="00180C50">
        <w:rPr>
          <w:sz w:val="20"/>
        </w:rPr>
        <w:t xml:space="preserve">No one other than a party to this </w:t>
      </w:r>
      <w:proofErr w:type="gramStart"/>
      <w:r w:rsidRPr="00180C50">
        <w:rPr>
          <w:sz w:val="20"/>
        </w:rPr>
        <w:t>Agreement ,</w:t>
      </w:r>
      <w:proofErr w:type="gramEnd"/>
      <w:r w:rsidRPr="00180C50">
        <w:rPr>
          <w:sz w:val="20"/>
        </w:rPr>
        <w:t xml:space="preserve"> their successors and permitted assignees, shall have any right to enforce any of its provisions.</w:t>
      </w:r>
    </w:p>
    <w:p w14:paraId="16B38C81" w14:textId="77777777" w:rsidR="008C62FB" w:rsidRPr="00180C50" w:rsidRDefault="008C62FB" w:rsidP="006D75F3">
      <w:pPr>
        <w:pStyle w:val="Parasubclause1"/>
        <w:spacing w:before="0" w:after="0" w:line="20" w:lineRule="atLeast"/>
        <w:ind w:left="0"/>
        <w:rPr>
          <w:sz w:val="20"/>
        </w:rPr>
      </w:pPr>
    </w:p>
    <w:p w14:paraId="27968CEA" w14:textId="498220BA" w:rsidR="00F96AC2" w:rsidRPr="00180C50" w:rsidRDefault="00000000" w:rsidP="006D75F3">
      <w:pPr>
        <w:pStyle w:val="TitleClause"/>
        <w:spacing w:before="0" w:after="0" w:line="20" w:lineRule="atLeast"/>
        <w:rPr>
          <w:sz w:val="20"/>
        </w:rPr>
      </w:pPr>
      <w:r w:rsidRPr="00180C50">
        <w:rPr>
          <w:sz w:val="20"/>
        </w:rPr>
        <w:lastRenderedPageBreak/>
        <w:fldChar w:fldCharType="begin"/>
      </w:r>
      <w:r w:rsidRPr="00180C50">
        <w:rPr>
          <w:sz w:val="20"/>
        </w:rPr>
        <w:instrText>TC "20. Direct marketing" \l 1</w:instrText>
      </w:r>
      <w:r w:rsidRPr="00180C50">
        <w:rPr>
          <w:sz w:val="20"/>
        </w:rPr>
        <w:fldChar w:fldCharType="end"/>
      </w:r>
      <w:bookmarkStart w:id="164" w:name="_Toc256000019"/>
      <w:bookmarkStart w:id="165" w:name="a801180"/>
      <w:r w:rsidR="006D75F3" w:rsidRPr="00180C50">
        <w:rPr>
          <w:sz w:val="20"/>
        </w:rPr>
        <w:t>DIRECT MARKETING</w:t>
      </w:r>
      <w:r w:rsidRPr="00180C50">
        <w:rPr>
          <w:sz w:val="20"/>
        </w:rPr>
        <w:fldChar w:fldCharType="begin"/>
      </w:r>
      <w:r w:rsidRPr="00180C50">
        <w:rPr>
          <w:sz w:val="20"/>
        </w:rPr>
        <w:fldChar w:fldCharType="end"/>
      </w:r>
      <w:bookmarkEnd w:id="164"/>
      <w:bookmarkEnd w:id="165"/>
    </w:p>
    <w:p w14:paraId="2E4BB9D3" w14:textId="77777777" w:rsidR="008C62FB" w:rsidRPr="00180C50" w:rsidRDefault="008C62FB" w:rsidP="006D75F3">
      <w:pPr>
        <w:pStyle w:val="TitleClause"/>
        <w:numPr>
          <w:ilvl w:val="0"/>
          <w:numId w:val="0"/>
        </w:numPr>
        <w:spacing w:before="0" w:after="0" w:line="20" w:lineRule="atLeast"/>
        <w:ind w:left="720"/>
        <w:rPr>
          <w:sz w:val="20"/>
        </w:rPr>
      </w:pPr>
    </w:p>
    <w:p w14:paraId="55A8B1A4" w14:textId="3025806B" w:rsidR="00F96AC2" w:rsidRPr="00180C50" w:rsidRDefault="00000000" w:rsidP="006D75F3">
      <w:pPr>
        <w:pStyle w:val="NoNumUntitledsubclause1"/>
        <w:spacing w:before="0" w:after="0" w:line="20" w:lineRule="atLeast"/>
        <w:rPr>
          <w:sz w:val="20"/>
        </w:rPr>
      </w:pPr>
      <w:bookmarkStart w:id="166" w:name="a540492"/>
      <w:r w:rsidRPr="00180C50">
        <w:rPr>
          <w:sz w:val="20"/>
        </w:rPr>
        <w:t>If the Data Receiver processes the Shared Personal Data for the purposes of direct marketing, each party shall ensure that:</w:t>
      </w:r>
      <w:r w:rsidRPr="00180C50">
        <w:rPr>
          <w:sz w:val="20"/>
        </w:rPr>
        <w:fldChar w:fldCharType="begin"/>
      </w:r>
      <w:r w:rsidRPr="00180C50">
        <w:rPr>
          <w:sz w:val="20"/>
        </w:rPr>
        <w:fldChar w:fldCharType="end"/>
      </w:r>
      <w:bookmarkEnd w:id="166"/>
    </w:p>
    <w:p w14:paraId="2F5F280F" w14:textId="77777777" w:rsidR="008C62FB" w:rsidRPr="00180C50" w:rsidRDefault="008C62FB" w:rsidP="006D75F3">
      <w:pPr>
        <w:pStyle w:val="NoNumUntitledsubclause1"/>
        <w:spacing w:before="0" w:after="0" w:line="20" w:lineRule="atLeast"/>
        <w:ind w:left="0"/>
        <w:rPr>
          <w:sz w:val="20"/>
        </w:rPr>
      </w:pPr>
    </w:p>
    <w:p w14:paraId="43B3C91A" w14:textId="29BC4C3C" w:rsidR="00F96AC2" w:rsidRPr="00180C50" w:rsidRDefault="008C62FB" w:rsidP="006D75F3">
      <w:pPr>
        <w:pStyle w:val="Untitledsubclause2"/>
        <w:spacing w:after="0" w:line="20" w:lineRule="atLeast"/>
        <w:rPr>
          <w:sz w:val="20"/>
        </w:rPr>
      </w:pPr>
      <w:bookmarkStart w:id="167" w:name="a781788"/>
      <w:r w:rsidRPr="00180C50">
        <w:rPr>
          <w:sz w:val="20"/>
        </w:rPr>
        <w:t>the appropriate level of consent has been obtained from the relevant Data Subjects to allow the Shared Personal Data to be used for the purposes of direct marketing in compliance with the Data Protection Legislation; and</w:t>
      </w:r>
      <w:bookmarkEnd w:id="167"/>
    </w:p>
    <w:p w14:paraId="76C7CE37" w14:textId="77777777" w:rsidR="008C62FB" w:rsidRPr="00180C50" w:rsidRDefault="008C62FB" w:rsidP="006D75F3">
      <w:pPr>
        <w:pStyle w:val="Untitledsubclause2"/>
        <w:numPr>
          <w:ilvl w:val="0"/>
          <w:numId w:val="0"/>
        </w:numPr>
        <w:spacing w:after="0" w:line="20" w:lineRule="atLeast"/>
        <w:ind w:left="1555"/>
        <w:rPr>
          <w:sz w:val="20"/>
        </w:rPr>
      </w:pPr>
    </w:p>
    <w:p w14:paraId="6336D331" w14:textId="37C55896" w:rsidR="00F96AC2" w:rsidRPr="00180C50" w:rsidRDefault="00000000" w:rsidP="006D75F3">
      <w:pPr>
        <w:pStyle w:val="Untitledsubclause2"/>
        <w:spacing w:after="0" w:line="20" w:lineRule="atLeast"/>
        <w:rPr>
          <w:sz w:val="20"/>
        </w:rPr>
      </w:pPr>
      <w:bookmarkStart w:id="168" w:name="a524855"/>
      <w:r w:rsidRPr="00180C50">
        <w:rPr>
          <w:sz w:val="20"/>
        </w:rPr>
        <w:t>effective procedures are in place to allow the Data Subject to "opt-out" from having their Shared Personal Data used for such direct marketing purposes.</w:t>
      </w:r>
      <w:bookmarkEnd w:id="168"/>
    </w:p>
    <w:p w14:paraId="120A1469" w14:textId="77777777" w:rsidR="008C62FB" w:rsidRPr="006D75F3" w:rsidRDefault="008C62FB" w:rsidP="006D75F3">
      <w:pPr>
        <w:pStyle w:val="Untitledsubclause2"/>
        <w:numPr>
          <w:ilvl w:val="0"/>
          <w:numId w:val="0"/>
        </w:numPr>
        <w:spacing w:after="0" w:line="20" w:lineRule="atLeast"/>
        <w:rPr>
          <w:sz w:val="20"/>
        </w:rPr>
      </w:pPr>
    </w:p>
    <w:p w14:paraId="4950FC75" w14:textId="26875888"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"21. Variation" \l 1</w:instrText>
      </w:r>
      <w:r w:rsidRPr="006D75F3">
        <w:rPr>
          <w:sz w:val="20"/>
        </w:rPr>
        <w:fldChar w:fldCharType="end"/>
      </w:r>
      <w:bookmarkStart w:id="169" w:name="_Toc256000020"/>
      <w:bookmarkStart w:id="170" w:name="a948289"/>
      <w:r w:rsidR="008C62FB" w:rsidRPr="006D75F3">
        <w:rPr>
          <w:sz w:val="20"/>
        </w:rPr>
        <w:t>VARIATION</w:t>
      </w:r>
      <w:bookmarkEnd w:id="169"/>
      <w:bookmarkEnd w:id="170"/>
    </w:p>
    <w:p w14:paraId="05F5AB11" w14:textId="77777777" w:rsidR="008C62FB" w:rsidRPr="006D75F3" w:rsidRDefault="008C62FB" w:rsidP="006D75F3">
      <w:pPr>
        <w:pStyle w:val="TitleClause"/>
        <w:numPr>
          <w:ilvl w:val="0"/>
          <w:numId w:val="0"/>
        </w:numPr>
        <w:spacing w:before="0" w:after="0" w:line="20" w:lineRule="atLeast"/>
        <w:ind w:left="720"/>
        <w:rPr>
          <w:sz w:val="20"/>
        </w:rPr>
      </w:pPr>
    </w:p>
    <w:p w14:paraId="42F1DF6F" w14:textId="77777777" w:rsidR="00F96AC2" w:rsidRPr="006D75F3" w:rsidRDefault="00000000" w:rsidP="006D75F3">
      <w:pPr>
        <w:pStyle w:val="NoNumUntitledsubclause1"/>
        <w:spacing w:before="0" w:after="0" w:line="20" w:lineRule="atLeast"/>
        <w:rPr>
          <w:sz w:val="20"/>
        </w:rPr>
      </w:pPr>
      <w:bookmarkStart w:id="171" w:name="a480279"/>
      <w:r w:rsidRPr="006D75F3">
        <w:rPr>
          <w:sz w:val="20"/>
        </w:rPr>
        <w:t>No variation of this Agreement shall be effective unless it is in writing and signed by the parties (or their authorised representatives).</w:t>
      </w:r>
      <w:bookmarkEnd w:id="171"/>
    </w:p>
    <w:p w14:paraId="180B02DD" w14:textId="77777777" w:rsidR="008C62FB" w:rsidRPr="006D75F3" w:rsidRDefault="008C62FB" w:rsidP="006D75F3">
      <w:pPr>
        <w:pStyle w:val="NoNumUntitledsubclause1"/>
        <w:spacing w:before="0" w:after="0" w:line="20" w:lineRule="atLeast"/>
        <w:rPr>
          <w:sz w:val="20"/>
        </w:rPr>
      </w:pPr>
    </w:p>
    <w:p w14:paraId="54157160" w14:textId="5A5F2814"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"22. Waiver" \l 1</w:instrText>
      </w:r>
      <w:r w:rsidRPr="006D75F3">
        <w:rPr>
          <w:sz w:val="20"/>
        </w:rPr>
        <w:fldChar w:fldCharType="end"/>
      </w:r>
      <w:bookmarkStart w:id="172" w:name="_Toc256000021"/>
      <w:bookmarkStart w:id="173" w:name="a891751"/>
      <w:r w:rsidR="008C62FB" w:rsidRPr="006D75F3">
        <w:rPr>
          <w:sz w:val="20"/>
        </w:rPr>
        <w:t>WAIVER</w:t>
      </w:r>
      <w:bookmarkEnd w:id="172"/>
      <w:bookmarkEnd w:id="173"/>
    </w:p>
    <w:p w14:paraId="37A2BB05" w14:textId="77777777" w:rsidR="008C62FB" w:rsidRPr="006D75F3" w:rsidRDefault="008C62FB" w:rsidP="006D75F3">
      <w:pPr>
        <w:pStyle w:val="TitleClause"/>
        <w:numPr>
          <w:ilvl w:val="0"/>
          <w:numId w:val="0"/>
        </w:numPr>
        <w:spacing w:before="0" w:after="0" w:line="20" w:lineRule="atLeast"/>
        <w:ind w:left="720"/>
        <w:rPr>
          <w:sz w:val="20"/>
        </w:rPr>
      </w:pPr>
    </w:p>
    <w:p w14:paraId="55AB57BA" w14:textId="77777777" w:rsidR="00F96AC2" w:rsidRPr="006D75F3" w:rsidRDefault="00000000" w:rsidP="006D75F3">
      <w:pPr>
        <w:pStyle w:val="NoNumUntitledsubclause1"/>
        <w:spacing w:before="0" w:after="0" w:line="20" w:lineRule="atLeast"/>
        <w:rPr>
          <w:sz w:val="20"/>
        </w:rPr>
      </w:pPr>
      <w:bookmarkStart w:id="174" w:name="a750473"/>
      <w:r w:rsidRPr="006D75F3">
        <w:rPr>
          <w:sz w:val="20"/>
        </w:rPr>
        <w:t>No failure or delay by a party to exercise any right or remedy provided under this Agreement or by law shall constitute a waiver of that or any other right or remedy, nor shall it prevent or restrict the further exercise of that or any other right or remedy. No single or partial exercise of such right or remedy shall prevent or restrict the further exercise of that or any other right or remedy.</w:t>
      </w:r>
      <w:bookmarkEnd w:id="174"/>
    </w:p>
    <w:p w14:paraId="41874E70" w14:textId="77777777" w:rsidR="008C62FB" w:rsidRPr="006D75F3" w:rsidRDefault="008C62FB" w:rsidP="006D75F3">
      <w:pPr>
        <w:pStyle w:val="NoNumUntitledsubclause1"/>
        <w:spacing w:before="0" w:after="0" w:line="20" w:lineRule="atLeast"/>
        <w:ind w:left="0"/>
        <w:rPr>
          <w:sz w:val="20"/>
        </w:rPr>
      </w:pPr>
    </w:p>
    <w:p w14:paraId="29514AF8" w14:textId="5A9FB3F1"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"23. Severance" \l 1</w:instrText>
      </w:r>
      <w:r w:rsidRPr="006D75F3">
        <w:rPr>
          <w:sz w:val="20"/>
        </w:rPr>
        <w:fldChar w:fldCharType="end"/>
      </w:r>
      <w:bookmarkStart w:id="175" w:name="_Toc256000022"/>
      <w:bookmarkStart w:id="176" w:name="a504786"/>
      <w:r w:rsidR="008C62FB" w:rsidRPr="006D75F3">
        <w:rPr>
          <w:sz w:val="20"/>
        </w:rPr>
        <w:t>SEVERANCE</w:t>
      </w:r>
      <w:bookmarkEnd w:id="175"/>
      <w:bookmarkEnd w:id="176"/>
    </w:p>
    <w:p w14:paraId="279BAEDA" w14:textId="77777777" w:rsidR="008C62FB" w:rsidRPr="006D75F3" w:rsidRDefault="008C62FB" w:rsidP="006D75F3">
      <w:pPr>
        <w:pStyle w:val="TitleClause"/>
        <w:numPr>
          <w:ilvl w:val="0"/>
          <w:numId w:val="0"/>
        </w:numPr>
        <w:spacing w:before="0" w:after="0" w:line="20" w:lineRule="atLeast"/>
        <w:ind w:left="720"/>
        <w:rPr>
          <w:sz w:val="20"/>
        </w:rPr>
      </w:pPr>
    </w:p>
    <w:p w14:paraId="2EB5E21D" w14:textId="77777777" w:rsidR="00F96AC2" w:rsidRPr="006D75F3" w:rsidRDefault="00000000" w:rsidP="006D75F3">
      <w:pPr>
        <w:pStyle w:val="Untitledsubclause1"/>
        <w:spacing w:before="0" w:after="0" w:line="20" w:lineRule="atLeast"/>
        <w:rPr>
          <w:sz w:val="20"/>
        </w:rPr>
      </w:pPr>
      <w:bookmarkStart w:id="177" w:name="a361010"/>
      <w:r w:rsidRPr="006D75F3">
        <w:rPr>
          <w:sz w:val="20"/>
        </w:rPr>
        <w:t>If any provision or part-provision of this Agreement is or becomes invalid, illegal or unenforceable, it shall be deemed deleted, but that shall not affect the validity and enforceability of the rest of this Agreement.</w:t>
      </w:r>
      <w:bookmarkEnd w:id="177"/>
    </w:p>
    <w:p w14:paraId="121372FA" w14:textId="77777777" w:rsidR="008C62FB" w:rsidRPr="006D75F3" w:rsidRDefault="008C62FB" w:rsidP="006D75F3">
      <w:pPr>
        <w:pStyle w:val="Untitledsubclause1"/>
        <w:numPr>
          <w:ilvl w:val="0"/>
          <w:numId w:val="0"/>
        </w:numPr>
        <w:spacing w:before="0" w:after="0" w:line="20" w:lineRule="atLeast"/>
        <w:ind w:left="720"/>
        <w:rPr>
          <w:sz w:val="20"/>
        </w:rPr>
      </w:pPr>
    </w:p>
    <w:p w14:paraId="12B03A18" w14:textId="6AA3E1C0" w:rsidR="00F96AC2" w:rsidRPr="006D75F3" w:rsidRDefault="00000000" w:rsidP="006D75F3">
      <w:pPr>
        <w:pStyle w:val="Untitledsubclause1"/>
        <w:spacing w:before="0" w:after="0" w:line="20" w:lineRule="atLeast"/>
        <w:rPr>
          <w:sz w:val="20"/>
        </w:rPr>
      </w:pPr>
      <w:bookmarkStart w:id="178" w:name="a785460"/>
      <w:r w:rsidRPr="006D75F3">
        <w:rPr>
          <w:sz w:val="20"/>
        </w:rPr>
        <w:t xml:space="preserve">If any provision or part-provision of this Agreement is deemed deleted under </w:t>
      </w:r>
      <w:r w:rsidRPr="006D75F3">
        <w:rPr>
          <w:sz w:val="20"/>
        </w:rPr>
        <w:fldChar w:fldCharType="begin"/>
      </w:r>
      <w:r w:rsidRPr="006D75F3">
        <w:rPr>
          <w:sz w:val="20"/>
        </w:rPr>
        <w:instrText>PAGEREF a361010\# "'clause '"  \h</w:instrText>
      </w:r>
      <w:r w:rsidRPr="006D75F3">
        <w:rPr>
          <w:sz w:val="20"/>
        </w:rPr>
      </w:r>
      <w:r w:rsidRPr="006D75F3">
        <w:rPr>
          <w:sz w:val="20"/>
        </w:rPr>
        <w:fldChar w:fldCharType="separate"/>
      </w:r>
      <w:r w:rsidRPr="006D75F3">
        <w:rPr>
          <w:sz w:val="20"/>
        </w:rPr>
        <w:t xml:space="preserve">clause </w:t>
      </w:r>
      <w:r w:rsidRPr="006D75F3">
        <w:rPr>
          <w:sz w:val="20"/>
        </w:rPr>
        <w:fldChar w:fldCharType="end"/>
      </w:r>
      <w:r w:rsidRPr="006D75F3">
        <w:rPr>
          <w:sz w:val="20"/>
        </w:rPr>
        <w:fldChar w:fldCharType="begin"/>
      </w:r>
      <w:r w:rsidRPr="006D75F3">
        <w:rPr>
          <w:sz w:val="20"/>
          <w:highlight w:val="lightGray"/>
        </w:rPr>
        <w:instrText>REF a361010 \h \w</w:instrText>
      </w:r>
      <w:r w:rsidR="00B8782F" w:rsidRPr="006D75F3">
        <w:rPr>
          <w:sz w:val="20"/>
        </w:rPr>
        <w:instrText xml:space="preserve"> \* MERGEFORMAT </w:instrText>
      </w:r>
      <w:r w:rsidRPr="006D75F3">
        <w:rPr>
          <w:sz w:val="20"/>
        </w:rPr>
      </w:r>
      <w:r w:rsidRPr="006D75F3">
        <w:rPr>
          <w:sz w:val="20"/>
        </w:rPr>
        <w:fldChar w:fldCharType="separate"/>
      </w:r>
      <w:r w:rsidRPr="006D75F3">
        <w:rPr>
          <w:sz w:val="20"/>
        </w:rPr>
        <w:t>23.1</w:t>
      </w:r>
      <w:r w:rsidRPr="006D75F3">
        <w:rPr>
          <w:sz w:val="20"/>
        </w:rPr>
        <w:fldChar w:fldCharType="end"/>
      </w:r>
      <w:r w:rsidRPr="006D75F3">
        <w:rPr>
          <w:sz w:val="20"/>
        </w:rPr>
        <w:t>, the parties shall negotiate in good faith to agree a replacement provision that, to the greatest extent possible, achieves the intended commercial result of the original provision.</w:t>
      </w:r>
      <w:bookmarkEnd w:id="178"/>
    </w:p>
    <w:p w14:paraId="5CC19815" w14:textId="77777777" w:rsidR="008C62FB" w:rsidRPr="006D75F3" w:rsidRDefault="008C62FB" w:rsidP="006D75F3">
      <w:pPr>
        <w:pStyle w:val="Untitledsubclause1"/>
        <w:numPr>
          <w:ilvl w:val="0"/>
          <w:numId w:val="0"/>
        </w:numPr>
        <w:spacing w:before="0" w:after="0" w:line="20" w:lineRule="atLeast"/>
        <w:rPr>
          <w:sz w:val="20"/>
        </w:rPr>
      </w:pPr>
    </w:p>
    <w:p w14:paraId="0DB1701B" w14:textId="45EE1E28"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"24. Changes to the applicable law" \l 1</w:instrText>
      </w:r>
      <w:r w:rsidRPr="006D75F3">
        <w:rPr>
          <w:sz w:val="20"/>
        </w:rPr>
        <w:fldChar w:fldCharType="end"/>
      </w:r>
      <w:bookmarkStart w:id="179" w:name="_Toc256000023"/>
      <w:bookmarkStart w:id="180" w:name="a209402"/>
      <w:r w:rsidR="008C62FB" w:rsidRPr="006D75F3">
        <w:rPr>
          <w:sz w:val="20"/>
        </w:rPr>
        <w:t>CHANGES TO THE APPLICABLE LAW</w:t>
      </w:r>
      <w:bookmarkEnd w:id="179"/>
      <w:bookmarkEnd w:id="180"/>
    </w:p>
    <w:p w14:paraId="5BF7958D" w14:textId="77777777" w:rsidR="008C62FB" w:rsidRPr="006D75F3" w:rsidRDefault="008C62FB" w:rsidP="006D75F3">
      <w:pPr>
        <w:pStyle w:val="TitleClause"/>
        <w:numPr>
          <w:ilvl w:val="0"/>
          <w:numId w:val="0"/>
        </w:numPr>
        <w:spacing w:before="0" w:after="0" w:line="20" w:lineRule="atLeast"/>
        <w:ind w:left="720"/>
        <w:rPr>
          <w:sz w:val="20"/>
        </w:rPr>
      </w:pPr>
    </w:p>
    <w:p w14:paraId="6B2676ED" w14:textId="77777777" w:rsidR="00F96AC2" w:rsidRPr="006D75F3" w:rsidRDefault="00000000" w:rsidP="006D75F3">
      <w:pPr>
        <w:pStyle w:val="NoNumUntitledsubclause1"/>
        <w:spacing w:before="0" w:after="0" w:line="20" w:lineRule="atLeast"/>
        <w:rPr>
          <w:sz w:val="20"/>
        </w:rPr>
      </w:pPr>
      <w:bookmarkStart w:id="181" w:name="a302281"/>
      <w:r w:rsidRPr="006D75F3">
        <w:rPr>
          <w:sz w:val="20"/>
        </w:rPr>
        <w:t xml:space="preserve">If during the Term of this Agreement the Data Protection Legislation change in a way that the Agreement is no longer adequate for the purpose of governing lawful data sharing exercises, the parties agree that the </w:t>
      </w:r>
      <w:proofErr w:type="spellStart"/>
      <w:r w:rsidRPr="006D75F3">
        <w:rPr>
          <w:sz w:val="20"/>
        </w:rPr>
        <w:t>SPoCs</w:t>
      </w:r>
      <w:proofErr w:type="spellEnd"/>
      <w:r w:rsidRPr="006D75F3">
        <w:rPr>
          <w:sz w:val="20"/>
        </w:rPr>
        <w:t xml:space="preserve"> will negotiate in good faith to review the Agreement in the light of the changes.</w:t>
      </w:r>
      <w:bookmarkEnd w:id="181"/>
    </w:p>
    <w:p w14:paraId="553E5BBD" w14:textId="77777777" w:rsidR="008C62FB" w:rsidRPr="006D75F3" w:rsidRDefault="008C62FB" w:rsidP="006D75F3">
      <w:pPr>
        <w:pStyle w:val="NoNumUntitledsubclause1"/>
        <w:spacing w:before="0" w:after="0" w:line="20" w:lineRule="atLeast"/>
        <w:ind w:left="0"/>
        <w:rPr>
          <w:sz w:val="20"/>
        </w:rPr>
      </w:pPr>
    </w:p>
    <w:p w14:paraId="3DAD4800" w14:textId="63264DF5"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"25. No partnership or agency" \l 1</w:instrText>
      </w:r>
      <w:r w:rsidRPr="006D75F3">
        <w:rPr>
          <w:sz w:val="20"/>
        </w:rPr>
        <w:fldChar w:fldCharType="end"/>
      </w:r>
      <w:bookmarkStart w:id="182" w:name="_Toc256000024"/>
      <w:bookmarkStart w:id="183" w:name="a511917"/>
      <w:r w:rsidR="008C62FB" w:rsidRPr="006D75F3">
        <w:rPr>
          <w:sz w:val="20"/>
        </w:rPr>
        <w:t>NO PARTNERSHIP OR AGENCY</w:t>
      </w:r>
      <w:bookmarkEnd w:id="182"/>
      <w:bookmarkEnd w:id="183"/>
    </w:p>
    <w:p w14:paraId="53EEACB7" w14:textId="77777777" w:rsidR="008C62FB" w:rsidRPr="006D75F3" w:rsidRDefault="008C62FB" w:rsidP="006D75F3">
      <w:pPr>
        <w:pStyle w:val="TitleClause"/>
        <w:numPr>
          <w:ilvl w:val="0"/>
          <w:numId w:val="0"/>
        </w:numPr>
        <w:spacing w:before="0" w:after="0" w:line="20" w:lineRule="atLeast"/>
        <w:ind w:left="720"/>
        <w:rPr>
          <w:sz w:val="20"/>
        </w:rPr>
      </w:pPr>
    </w:p>
    <w:p w14:paraId="3BB0030A" w14:textId="5AE3B988" w:rsidR="00F96AC2" w:rsidRPr="006D75F3" w:rsidRDefault="00000000" w:rsidP="006D75F3">
      <w:pPr>
        <w:pStyle w:val="Untitledsubclause1"/>
        <w:spacing w:before="0" w:after="0" w:line="20" w:lineRule="atLeast"/>
        <w:rPr>
          <w:sz w:val="20"/>
        </w:rPr>
      </w:pPr>
      <w:bookmarkStart w:id="184" w:name="a237856"/>
      <w:r w:rsidRPr="006D75F3">
        <w:rPr>
          <w:sz w:val="20"/>
        </w:rPr>
        <w:t xml:space="preserve">Nothing in this Agreement is intended to, or shall be deemed to, establish any partnership or joint venture between any of the parties, constitute any party the agent of another party, or authorise any party to make or </w:t>
      </w:r>
      <w:proofErr w:type="gramStart"/>
      <w:r w:rsidRPr="006D75F3">
        <w:rPr>
          <w:sz w:val="20"/>
        </w:rPr>
        <w:t>enter into</w:t>
      </w:r>
      <w:proofErr w:type="gramEnd"/>
      <w:r w:rsidRPr="006D75F3">
        <w:rPr>
          <w:sz w:val="20"/>
        </w:rPr>
        <w:t xml:space="preserve"> any commitments for or on behalf of any other part</w:t>
      </w:r>
      <w:bookmarkEnd w:id="184"/>
      <w:r w:rsidR="008C62FB" w:rsidRPr="006D75F3">
        <w:rPr>
          <w:sz w:val="20"/>
        </w:rPr>
        <w:t>y.</w:t>
      </w:r>
    </w:p>
    <w:p w14:paraId="6ED542F6" w14:textId="77777777" w:rsidR="008C62FB" w:rsidRPr="006D75F3" w:rsidRDefault="008C62FB" w:rsidP="006D75F3">
      <w:pPr>
        <w:pStyle w:val="Untitledsubclause1"/>
        <w:numPr>
          <w:ilvl w:val="0"/>
          <w:numId w:val="0"/>
        </w:numPr>
        <w:spacing w:before="0" w:after="0" w:line="20" w:lineRule="atLeast"/>
        <w:ind w:left="720"/>
        <w:rPr>
          <w:sz w:val="20"/>
        </w:rPr>
      </w:pPr>
    </w:p>
    <w:p w14:paraId="6A7164B5" w14:textId="77777777" w:rsidR="00F96AC2" w:rsidRPr="006D75F3" w:rsidRDefault="00000000" w:rsidP="006D75F3">
      <w:pPr>
        <w:pStyle w:val="Untitledsubclause1"/>
        <w:spacing w:before="0" w:after="0" w:line="20" w:lineRule="atLeast"/>
        <w:rPr>
          <w:sz w:val="20"/>
        </w:rPr>
      </w:pPr>
      <w:bookmarkStart w:id="185" w:name="a401799"/>
      <w:r w:rsidRPr="006D75F3">
        <w:rPr>
          <w:sz w:val="20"/>
        </w:rPr>
        <w:t>Each party confirms it is acting on its own behalf and not for the benefit of any other person.</w:t>
      </w:r>
      <w:bookmarkEnd w:id="185"/>
    </w:p>
    <w:p w14:paraId="7C388A78" w14:textId="77777777" w:rsidR="008C62FB" w:rsidRPr="006D75F3" w:rsidRDefault="008C62FB" w:rsidP="006D75F3">
      <w:pPr>
        <w:pStyle w:val="Untitledsubclause1"/>
        <w:numPr>
          <w:ilvl w:val="0"/>
          <w:numId w:val="0"/>
        </w:numPr>
        <w:spacing w:before="0" w:after="0" w:line="20" w:lineRule="atLeast"/>
        <w:rPr>
          <w:sz w:val="20"/>
        </w:rPr>
      </w:pPr>
    </w:p>
    <w:p w14:paraId="1B3157F0" w14:textId="0ECFFE07"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"26. Entire agreement" \l 1</w:instrText>
      </w:r>
      <w:r w:rsidRPr="006D75F3">
        <w:rPr>
          <w:sz w:val="20"/>
        </w:rPr>
        <w:fldChar w:fldCharType="end"/>
      </w:r>
      <w:bookmarkStart w:id="186" w:name="_Toc256000025"/>
      <w:bookmarkStart w:id="187" w:name="a255402"/>
      <w:r w:rsidR="008C62FB" w:rsidRPr="006D75F3">
        <w:rPr>
          <w:sz w:val="20"/>
        </w:rPr>
        <w:t>ENTIRE AGREEMENT</w:t>
      </w:r>
      <w:bookmarkEnd w:id="186"/>
      <w:bookmarkEnd w:id="187"/>
    </w:p>
    <w:p w14:paraId="6B3A30CD" w14:textId="77777777" w:rsidR="008C62FB" w:rsidRPr="006D75F3" w:rsidRDefault="008C62FB" w:rsidP="006D75F3">
      <w:pPr>
        <w:pStyle w:val="TitleClause"/>
        <w:numPr>
          <w:ilvl w:val="0"/>
          <w:numId w:val="0"/>
        </w:numPr>
        <w:spacing w:before="0" w:after="0" w:line="20" w:lineRule="atLeast"/>
        <w:ind w:left="720"/>
        <w:rPr>
          <w:sz w:val="20"/>
        </w:rPr>
      </w:pPr>
    </w:p>
    <w:p w14:paraId="4F07400B" w14:textId="77777777" w:rsidR="00F96AC2" w:rsidRPr="006D75F3" w:rsidRDefault="00000000" w:rsidP="006D75F3">
      <w:pPr>
        <w:pStyle w:val="Untitledsubclause1"/>
        <w:spacing w:before="0" w:after="0" w:line="20" w:lineRule="atLeast"/>
        <w:rPr>
          <w:sz w:val="20"/>
        </w:rPr>
      </w:pPr>
      <w:bookmarkStart w:id="188" w:name="a731795"/>
      <w:r w:rsidRPr="006D75F3">
        <w:rPr>
          <w:sz w:val="20"/>
        </w:rPr>
        <w:t>This Agreement constitutes the entire agreement between the parties and supersedes and extinguishes all previous agreements, promises, assurances, warranties, representations and understandings between them, whether written or oral, relating to its subject matter.</w:t>
      </w:r>
      <w:bookmarkEnd w:id="188"/>
    </w:p>
    <w:p w14:paraId="2CAE307D" w14:textId="77777777" w:rsidR="008C62FB" w:rsidRPr="006D75F3" w:rsidRDefault="008C62FB" w:rsidP="006D75F3">
      <w:pPr>
        <w:pStyle w:val="Untitledsubclause1"/>
        <w:numPr>
          <w:ilvl w:val="0"/>
          <w:numId w:val="0"/>
        </w:numPr>
        <w:spacing w:before="0" w:after="0" w:line="20" w:lineRule="atLeast"/>
        <w:ind w:left="720"/>
        <w:rPr>
          <w:sz w:val="20"/>
        </w:rPr>
      </w:pPr>
    </w:p>
    <w:p w14:paraId="6430C621" w14:textId="77777777" w:rsidR="00F96AC2" w:rsidRPr="006D75F3" w:rsidRDefault="00000000" w:rsidP="006D75F3">
      <w:pPr>
        <w:pStyle w:val="Untitledsubclause1"/>
        <w:spacing w:before="0" w:after="0" w:line="20" w:lineRule="atLeast"/>
        <w:rPr>
          <w:sz w:val="20"/>
        </w:rPr>
      </w:pPr>
      <w:bookmarkStart w:id="189" w:name="a880641"/>
      <w:r w:rsidRPr="006D75F3">
        <w:rPr>
          <w:sz w:val="20"/>
        </w:rPr>
        <w:t xml:space="preserve">Each party acknowledges that in entering into this Agreement it does not rely </w:t>
      </w:r>
      <w:proofErr w:type="gramStart"/>
      <w:r w:rsidRPr="006D75F3">
        <w:rPr>
          <w:sz w:val="20"/>
        </w:rPr>
        <w:t>on, and</w:t>
      </w:r>
      <w:proofErr w:type="gramEnd"/>
      <w:r w:rsidRPr="006D75F3">
        <w:rPr>
          <w:sz w:val="20"/>
        </w:rPr>
        <w:t xml:space="preserve"> shall have no remedies in respect of any statement, representation, assurance or warranty (whether made innocently or negligently) that is not set out in this Agreement.</w:t>
      </w:r>
      <w:bookmarkEnd w:id="189"/>
    </w:p>
    <w:p w14:paraId="66A0C0A6" w14:textId="77777777" w:rsidR="008C62FB" w:rsidRPr="006D75F3" w:rsidRDefault="008C62FB" w:rsidP="006D75F3">
      <w:pPr>
        <w:pStyle w:val="Untitledsubclause1"/>
        <w:numPr>
          <w:ilvl w:val="0"/>
          <w:numId w:val="0"/>
        </w:numPr>
        <w:spacing w:before="0" w:after="0" w:line="20" w:lineRule="atLeast"/>
        <w:rPr>
          <w:sz w:val="20"/>
        </w:rPr>
      </w:pPr>
    </w:p>
    <w:p w14:paraId="3E2DBB8D" w14:textId="77777777" w:rsidR="00F96AC2" w:rsidRPr="006D75F3" w:rsidRDefault="00000000" w:rsidP="006D75F3">
      <w:pPr>
        <w:pStyle w:val="Untitledsubclause1"/>
        <w:spacing w:before="0" w:after="0" w:line="20" w:lineRule="atLeast"/>
        <w:rPr>
          <w:sz w:val="20"/>
        </w:rPr>
      </w:pPr>
      <w:bookmarkStart w:id="190" w:name="a537767"/>
      <w:r w:rsidRPr="006D75F3">
        <w:rPr>
          <w:sz w:val="20"/>
        </w:rPr>
        <w:t>Each party agrees that it shall have no claim for innocent or negligent misrepresentation based on any statement in this Agreement.</w:t>
      </w:r>
      <w:bookmarkEnd w:id="190"/>
    </w:p>
    <w:p w14:paraId="6EE2113F" w14:textId="77777777" w:rsidR="008C62FB" w:rsidRPr="006D75F3" w:rsidRDefault="008C62FB" w:rsidP="006D75F3">
      <w:pPr>
        <w:pStyle w:val="Untitledsubclause1"/>
        <w:numPr>
          <w:ilvl w:val="0"/>
          <w:numId w:val="0"/>
        </w:numPr>
        <w:spacing w:before="0" w:after="0" w:line="20" w:lineRule="atLeast"/>
        <w:rPr>
          <w:sz w:val="20"/>
        </w:rPr>
      </w:pPr>
    </w:p>
    <w:p w14:paraId="7B80E8B6" w14:textId="6F58A360" w:rsidR="00F96AC2" w:rsidRPr="006D75F3" w:rsidRDefault="00000000" w:rsidP="006D75F3">
      <w:pPr>
        <w:pStyle w:val="TitleClause"/>
        <w:spacing w:before="0" w:after="0" w:line="20" w:lineRule="atLeast"/>
        <w:rPr>
          <w:sz w:val="20"/>
        </w:rPr>
      </w:pPr>
      <w:r w:rsidRPr="006D75F3">
        <w:rPr>
          <w:sz w:val="20"/>
        </w:rPr>
        <w:lastRenderedPageBreak/>
        <w:fldChar w:fldCharType="begin"/>
      </w:r>
      <w:r w:rsidRPr="006D75F3">
        <w:rPr>
          <w:sz w:val="20"/>
        </w:rPr>
        <w:instrText>TC "27. Further assurance" \l 1</w:instrText>
      </w:r>
      <w:r w:rsidRPr="006D75F3">
        <w:rPr>
          <w:sz w:val="20"/>
        </w:rPr>
        <w:fldChar w:fldCharType="end"/>
      </w:r>
      <w:bookmarkStart w:id="191" w:name="_Toc256000026"/>
      <w:bookmarkStart w:id="192" w:name="a510401"/>
      <w:r w:rsidR="008C62FB" w:rsidRPr="006D75F3">
        <w:rPr>
          <w:sz w:val="20"/>
        </w:rPr>
        <w:t>FURTHER ASSURANCE</w:t>
      </w:r>
      <w:bookmarkEnd w:id="191"/>
      <w:bookmarkEnd w:id="192"/>
    </w:p>
    <w:p w14:paraId="26D8D017" w14:textId="77777777" w:rsidR="008C62FB" w:rsidRPr="006D75F3" w:rsidRDefault="008C62FB" w:rsidP="006D75F3">
      <w:pPr>
        <w:pStyle w:val="TitleClause"/>
        <w:numPr>
          <w:ilvl w:val="0"/>
          <w:numId w:val="0"/>
        </w:numPr>
        <w:spacing w:before="0" w:after="0" w:line="20" w:lineRule="atLeast"/>
        <w:ind w:left="720"/>
        <w:rPr>
          <w:sz w:val="20"/>
        </w:rPr>
      </w:pPr>
    </w:p>
    <w:p w14:paraId="1B6C7BD1" w14:textId="63CC9737" w:rsidR="00F96AC2" w:rsidRPr="006D75F3" w:rsidRDefault="00000000" w:rsidP="006D75F3">
      <w:pPr>
        <w:pStyle w:val="NoNumUntitledsubclause1"/>
        <w:spacing w:before="0" w:after="0" w:line="20" w:lineRule="atLeast"/>
        <w:rPr>
          <w:sz w:val="20"/>
        </w:rPr>
      </w:pPr>
      <w:bookmarkStart w:id="193" w:name="a135817"/>
      <w:r w:rsidRPr="00180C50">
        <w:rPr>
          <w:sz w:val="20"/>
        </w:rPr>
        <w:t>At its own expense, each party</w:t>
      </w:r>
      <w:r w:rsidRPr="006D75F3">
        <w:rPr>
          <w:sz w:val="20"/>
        </w:rPr>
        <w:t xml:space="preserve"> shall, and shall use all reasonable endeavours to procure that any necessary third party shall, promptly execute and deliver such documents and perform such acts as may reasonably be required for the purpose of giving full effect to this Agreement.</w:t>
      </w:r>
      <w:bookmarkEnd w:id="193"/>
    </w:p>
    <w:p w14:paraId="18C64D5F" w14:textId="77777777" w:rsidR="008C62FB" w:rsidRPr="006D75F3" w:rsidRDefault="008C62FB" w:rsidP="006D75F3">
      <w:pPr>
        <w:pStyle w:val="NoNumUntitledsubclause1"/>
        <w:spacing w:before="0" w:after="0" w:line="20" w:lineRule="atLeast"/>
        <w:ind w:left="0"/>
        <w:rPr>
          <w:sz w:val="20"/>
        </w:rPr>
      </w:pPr>
    </w:p>
    <w:p w14:paraId="2BD6B168" w14:textId="78227C88"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"28. Force majeure" \l 1</w:instrText>
      </w:r>
      <w:r w:rsidRPr="006D75F3">
        <w:rPr>
          <w:sz w:val="20"/>
        </w:rPr>
        <w:fldChar w:fldCharType="end"/>
      </w:r>
      <w:bookmarkStart w:id="194" w:name="_Toc256000027"/>
      <w:bookmarkStart w:id="195" w:name="a365744"/>
      <w:r w:rsidR="008C62FB" w:rsidRPr="006D75F3">
        <w:rPr>
          <w:sz w:val="20"/>
        </w:rPr>
        <w:t>FORCE MAJEURE</w:t>
      </w:r>
      <w:bookmarkEnd w:id="194"/>
      <w:bookmarkEnd w:id="195"/>
    </w:p>
    <w:p w14:paraId="7A9051E1" w14:textId="77777777" w:rsidR="008C62FB" w:rsidRPr="006D75F3" w:rsidRDefault="008C62FB" w:rsidP="006D75F3">
      <w:pPr>
        <w:pStyle w:val="TitleClause"/>
        <w:numPr>
          <w:ilvl w:val="0"/>
          <w:numId w:val="0"/>
        </w:numPr>
        <w:spacing w:before="0" w:after="0" w:line="20" w:lineRule="atLeast"/>
        <w:ind w:left="720"/>
        <w:rPr>
          <w:sz w:val="20"/>
        </w:rPr>
      </w:pPr>
    </w:p>
    <w:p w14:paraId="6660AA43" w14:textId="1A443971" w:rsidR="00F96AC2" w:rsidRPr="006D75F3" w:rsidRDefault="00000000" w:rsidP="006D75F3">
      <w:pPr>
        <w:pStyle w:val="NoNumUntitledsubclause1"/>
        <w:spacing w:before="0" w:after="0" w:line="20" w:lineRule="atLeast"/>
        <w:rPr>
          <w:sz w:val="20"/>
        </w:rPr>
      </w:pPr>
      <w:bookmarkStart w:id="196" w:name="a195128"/>
      <w:r w:rsidRPr="006D75F3">
        <w:rPr>
          <w:sz w:val="20"/>
        </w:rPr>
        <w:t xml:space="preserve">Neither party shall be in breach of this Agreement nor liable for delay in performing, or failure to perform, any of its obligations under this Agreement if such delay or failure result from events, circumstances or causes beyond its reasonable </w:t>
      </w:r>
      <w:r w:rsidRPr="00180C50">
        <w:rPr>
          <w:sz w:val="20"/>
        </w:rPr>
        <w:t xml:space="preserve">control. In such circumstances the affected party shall be entitled to a reasonable extension of the time for performing such obligations. If the period of delay or non-performance continues for </w:t>
      </w:r>
      <w:r w:rsidR="00180C50" w:rsidRPr="00180C50">
        <w:rPr>
          <w:sz w:val="20"/>
        </w:rPr>
        <w:t>six (6</w:t>
      </w:r>
      <w:proofErr w:type="gramStart"/>
      <w:r w:rsidR="00180C50" w:rsidRPr="00180C50">
        <w:rPr>
          <w:sz w:val="20"/>
        </w:rPr>
        <w:t xml:space="preserve">) </w:t>
      </w:r>
      <w:r w:rsidRPr="00180C50">
        <w:rPr>
          <w:sz w:val="20"/>
        </w:rPr>
        <w:t xml:space="preserve"> months</w:t>
      </w:r>
      <w:proofErr w:type="gramEnd"/>
      <w:r w:rsidRPr="00180C50">
        <w:rPr>
          <w:sz w:val="20"/>
        </w:rPr>
        <w:t xml:space="preserve">, the party not affected may terminate its involvement this Agreement by giving </w:t>
      </w:r>
      <w:r w:rsidR="00180C50" w:rsidRPr="00180C50">
        <w:rPr>
          <w:sz w:val="20"/>
        </w:rPr>
        <w:t>fourteen (14)</w:t>
      </w:r>
      <w:r w:rsidRPr="00180C50">
        <w:rPr>
          <w:sz w:val="20"/>
        </w:rPr>
        <w:t xml:space="preserve"> days' written notice to the affected party.</w:t>
      </w:r>
      <w:bookmarkEnd w:id="196"/>
    </w:p>
    <w:p w14:paraId="38F33847" w14:textId="77777777" w:rsidR="008C62FB" w:rsidRPr="006D75F3" w:rsidRDefault="008C62FB" w:rsidP="006D75F3">
      <w:pPr>
        <w:pStyle w:val="NoNumUntitledsubclause1"/>
        <w:spacing w:before="0" w:after="0" w:line="20" w:lineRule="atLeast"/>
        <w:ind w:left="0"/>
        <w:rPr>
          <w:sz w:val="20"/>
        </w:rPr>
      </w:pPr>
    </w:p>
    <w:p w14:paraId="2570B11F" w14:textId="74B736D8"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"29. Rights and remedies" \l 1</w:instrText>
      </w:r>
      <w:r w:rsidRPr="006D75F3">
        <w:rPr>
          <w:sz w:val="20"/>
        </w:rPr>
        <w:fldChar w:fldCharType="end"/>
      </w:r>
      <w:bookmarkStart w:id="197" w:name="_Toc256000028"/>
      <w:bookmarkStart w:id="198" w:name="a127730"/>
      <w:r w:rsidR="008C62FB" w:rsidRPr="006D75F3">
        <w:rPr>
          <w:sz w:val="20"/>
        </w:rPr>
        <w:t>RIGHTS AND REMEDIES</w:t>
      </w:r>
      <w:bookmarkEnd w:id="197"/>
      <w:bookmarkEnd w:id="198"/>
    </w:p>
    <w:p w14:paraId="66EDE49E" w14:textId="77777777" w:rsidR="008C62FB" w:rsidRPr="006D75F3" w:rsidRDefault="008C62FB" w:rsidP="006D75F3">
      <w:pPr>
        <w:pStyle w:val="TitleClause"/>
        <w:numPr>
          <w:ilvl w:val="0"/>
          <w:numId w:val="0"/>
        </w:numPr>
        <w:spacing w:before="0" w:after="0" w:line="20" w:lineRule="atLeast"/>
        <w:ind w:left="720"/>
        <w:rPr>
          <w:sz w:val="20"/>
        </w:rPr>
      </w:pPr>
    </w:p>
    <w:p w14:paraId="6F47B180" w14:textId="23ABFCA1" w:rsidR="00F96AC2" w:rsidRPr="006D75F3" w:rsidRDefault="00000000" w:rsidP="006D75F3">
      <w:pPr>
        <w:pStyle w:val="NoNumUntitledsubclause1"/>
        <w:spacing w:before="0" w:after="0" w:line="20" w:lineRule="atLeast"/>
        <w:rPr>
          <w:sz w:val="20"/>
        </w:rPr>
      </w:pPr>
      <w:bookmarkStart w:id="199" w:name="a227203"/>
      <w:r w:rsidRPr="006D75F3">
        <w:rPr>
          <w:sz w:val="20"/>
        </w:rPr>
        <w:t>The rights and remedies provided under this Agreement are in addition to, and not exclusive of, any rights or remedies provided by law.</w:t>
      </w:r>
      <w:bookmarkEnd w:id="199"/>
    </w:p>
    <w:p w14:paraId="6778425D" w14:textId="77777777" w:rsidR="008C62FB" w:rsidRPr="006D75F3" w:rsidRDefault="008C62FB" w:rsidP="006D75F3">
      <w:pPr>
        <w:pStyle w:val="NoNumUntitledsubclause1"/>
        <w:spacing w:before="0" w:after="0" w:line="20" w:lineRule="atLeast"/>
        <w:ind w:left="0"/>
        <w:rPr>
          <w:sz w:val="20"/>
        </w:rPr>
      </w:pPr>
    </w:p>
    <w:p w14:paraId="2C716108" w14:textId="0322A7D6"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"30. Notice" \l 1</w:instrText>
      </w:r>
      <w:r w:rsidRPr="006D75F3">
        <w:rPr>
          <w:sz w:val="20"/>
        </w:rPr>
        <w:fldChar w:fldCharType="end"/>
      </w:r>
      <w:bookmarkStart w:id="200" w:name="_Toc256000029"/>
      <w:bookmarkStart w:id="201" w:name="a292865"/>
      <w:r w:rsidR="008C62FB" w:rsidRPr="006D75F3">
        <w:rPr>
          <w:sz w:val="20"/>
        </w:rPr>
        <w:t>NOTICE</w:t>
      </w:r>
      <w:bookmarkEnd w:id="200"/>
      <w:bookmarkEnd w:id="201"/>
    </w:p>
    <w:p w14:paraId="6E35B5AF" w14:textId="77777777" w:rsidR="008C62FB" w:rsidRPr="006D75F3" w:rsidRDefault="008C62FB" w:rsidP="006D75F3">
      <w:pPr>
        <w:pStyle w:val="TitleClause"/>
        <w:numPr>
          <w:ilvl w:val="0"/>
          <w:numId w:val="0"/>
        </w:numPr>
        <w:spacing w:before="0" w:after="0" w:line="20" w:lineRule="atLeast"/>
        <w:ind w:left="720"/>
        <w:rPr>
          <w:sz w:val="20"/>
        </w:rPr>
      </w:pPr>
    </w:p>
    <w:p w14:paraId="14A4282E" w14:textId="03A10968" w:rsidR="00F96AC2" w:rsidRPr="006D75F3" w:rsidRDefault="00000000" w:rsidP="006D75F3">
      <w:pPr>
        <w:pStyle w:val="Untitledsubclause1"/>
        <w:spacing w:before="0" w:after="0" w:line="20" w:lineRule="atLeast"/>
        <w:rPr>
          <w:sz w:val="20"/>
        </w:rPr>
      </w:pPr>
      <w:bookmarkStart w:id="202" w:name="a272833"/>
      <w:r w:rsidRPr="006D75F3">
        <w:rPr>
          <w:sz w:val="20"/>
        </w:rPr>
        <w:t xml:space="preserve">Any notice or other communication given to a party under or in connection with this Agreement shall be in writing, addressed to the </w:t>
      </w:r>
      <w:proofErr w:type="spellStart"/>
      <w:r w:rsidRPr="006D75F3">
        <w:rPr>
          <w:sz w:val="20"/>
        </w:rPr>
        <w:t>SPoCs</w:t>
      </w:r>
      <w:proofErr w:type="spellEnd"/>
      <w:r w:rsidRPr="006D75F3">
        <w:rPr>
          <w:sz w:val="20"/>
        </w:rPr>
        <w:t xml:space="preserve"> and shall be:</w:t>
      </w:r>
      <w:bookmarkEnd w:id="202"/>
    </w:p>
    <w:p w14:paraId="447B817E" w14:textId="77777777" w:rsidR="008C62FB" w:rsidRPr="006D75F3" w:rsidRDefault="008C62FB" w:rsidP="006D75F3">
      <w:pPr>
        <w:pStyle w:val="Untitledsubclause1"/>
        <w:numPr>
          <w:ilvl w:val="0"/>
          <w:numId w:val="0"/>
        </w:numPr>
        <w:spacing w:before="0" w:after="0" w:line="20" w:lineRule="atLeast"/>
        <w:ind w:left="720"/>
        <w:rPr>
          <w:sz w:val="20"/>
        </w:rPr>
      </w:pPr>
    </w:p>
    <w:p w14:paraId="78A62FFE" w14:textId="77777777" w:rsidR="00F96AC2" w:rsidRPr="006D75F3" w:rsidRDefault="00000000" w:rsidP="006D75F3">
      <w:pPr>
        <w:pStyle w:val="Untitledsubclause2"/>
        <w:spacing w:after="0" w:line="20" w:lineRule="atLeast"/>
        <w:rPr>
          <w:sz w:val="20"/>
        </w:rPr>
      </w:pPr>
      <w:bookmarkStart w:id="203" w:name="a938745"/>
      <w:r w:rsidRPr="006D75F3">
        <w:rPr>
          <w:sz w:val="20"/>
        </w:rPr>
        <w:t>delivered by hand or by pre-paid first-class post or other next working day delivery service at its registered office (if a company) or its principal place of business (in any other case); or</w:t>
      </w:r>
      <w:bookmarkEnd w:id="203"/>
    </w:p>
    <w:p w14:paraId="1ABB71FD" w14:textId="77777777" w:rsidR="008C62FB" w:rsidRPr="006D75F3" w:rsidRDefault="008C62FB" w:rsidP="006D75F3">
      <w:pPr>
        <w:pStyle w:val="Untitledsubclause2"/>
        <w:numPr>
          <w:ilvl w:val="0"/>
          <w:numId w:val="0"/>
        </w:numPr>
        <w:spacing w:after="0" w:line="20" w:lineRule="atLeast"/>
        <w:ind w:left="1555"/>
        <w:rPr>
          <w:sz w:val="20"/>
        </w:rPr>
      </w:pPr>
    </w:p>
    <w:p w14:paraId="1A8C27D3" w14:textId="6F359DEB" w:rsidR="00F96AC2" w:rsidRPr="006D75F3" w:rsidRDefault="00000000" w:rsidP="006D75F3">
      <w:pPr>
        <w:pStyle w:val="Untitledsubclause2"/>
        <w:spacing w:after="0" w:line="20" w:lineRule="atLeast"/>
        <w:rPr>
          <w:sz w:val="20"/>
        </w:rPr>
      </w:pPr>
      <w:bookmarkStart w:id="204" w:name="a974096"/>
      <w:r w:rsidRPr="006D75F3">
        <w:rPr>
          <w:sz w:val="20"/>
        </w:rPr>
        <w:t xml:space="preserve">sent by email to the </w:t>
      </w:r>
      <w:proofErr w:type="spellStart"/>
      <w:r w:rsidRPr="006D75F3">
        <w:rPr>
          <w:sz w:val="20"/>
        </w:rPr>
        <w:t>SPoC</w:t>
      </w:r>
      <w:bookmarkEnd w:id="204"/>
      <w:proofErr w:type="spellEnd"/>
      <w:r w:rsidR="008C62FB" w:rsidRPr="006D75F3">
        <w:rPr>
          <w:sz w:val="20"/>
        </w:rPr>
        <w:t>.</w:t>
      </w:r>
    </w:p>
    <w:p w14:paraId="2BD80454" w14:textId="77777777" w:rsidR="008C62FB" w:rsidRPr="006D75F3" w:rsidRDefault="008C62FB" w:rsidP="006D75F3">
      <w:pPr>
        <w:pStyle w:val="Untitledsubclause2"/>
        <w:numPr>
          <w:ilvl w:val="0"/>
          <w:numId w:val="0"/>
        </w:numPr>
        <w:spacing w:after="0" w:line="20" w:lineRule="atLeast"/>
        <w:rPr>
          <w:sz w:val="20"/>
        </w:rPr>
      </w:pPr>
    </w:p>
    <w:p w14:paraId="0DE08992" w14:textId="77777777" w:rsidR="00F96AC2" w:rsidRPr="006D75F3" w:rsidRDefault="00000000" w:rsidP="006D75F3">
      <w:pPr>
        <w:pStyle w:val="Untitledsubclause1"/>
        <w:spacing w:before="0" w:after="0" w:line="20" w:lineRule="atLeast"/>
        <w:rPr>
          <w:sz w:val="20"/>
        </w:rPr>
      </w:pPr>
      <w:bookmarkStart w:id="205" w:name="a303426"/>
      <w:r w:rsidRPr="006D75F3">
        <w:rPr>
          <w:sz w:val="20"/>
        </w:rPr>
        <w:t>Any notice [or communication] shall be deemed to have been received:</w:t>
      </w:r>
      <w:bookmarkEnd w:id="205"/>
    </w:p>
    <w:p w14:paraId="52CD5523" w14:textId="77777777" w:rsidR="008C62FB" w:rsidRPr="006D75F3" w:rsidRDefault="008C62FB" w:rsidP="006D75F3">
      <w:pPr>
        <w:pStyle w:val="Untitledsubclause1"/>
        <w:numPr>
          <w:ilvl w:val="0"/>
          <w:numId w:val="0"/>
        </w:numPr>
        <w:spacing w:before="0" w:after="0" w:line="20" w:lineRule="atLeast"/>
        <w:ind w:left="720"/>
        <w:rPr>
          <w:sz w:val="20"/>
        </w:rPr>
      </w:pPr>
    </w:p>
    <w:p w14:paraId="7A0A5730" w14:textId="6CE5DADC" w:rsidR="00F96AC2" w:rsidRPr="006D75F3" w:rsidRDefault="00000000" w:rsidP="006D75F3">
      <w:pPr>
        <w:pStyle w:val="Untitledsubclause2"/>
        <w:spacing w:after="0" w:line="20" w:lineRule="atLeast"/>
        <w:rPr>
          <w:sz w:val="20"/>
        </w:rPr>
      </w:pPr>
      <w:bookmarkStart w:id="206" w:name="a863343"/>
      <w:r w:rsidRPr="006D75F3">
        <w:rPr>
          <w:sz w:val="20"/>
        </w:rPr>
        <w:t xml:space="preserve">if delivered by hand, on signature of a delivery receipt or at the time the notice is left at the proper </w:t>
      </w:r>
      <w:proofErr w:type="gramStart"/>
      <w:r w:rsidRPr="006D75F3">
        <w:rPr>
          <w:sz w:val="20"/>
        </w:rPr>
        <w:t>address;</w:t>
      </w:r>
      <w:proofErr w:type="gramEnd"/>
      <w:r w:rsidRPr="006D75F3">
        <w:rPr>
          <w:sz w:val="20"/>
        </w:rPr>
        <w:t xml:space="preserve"> </w:t>
      </w:r>
      <w:bookmarkEnd w:id="206"/>
    </w:p>
    <w:p w14:paraId="24E1BDE8" w14:textId="77777777" w:rsidR="008C62FB" w:rsidRPr="006D75F3" w:rsidRDefault="008C62FB" w:rsidP="006D75F3">
      <w:pPr>
        <w:pStyle w:val="Untitledsubclause2"/>
        <w:numPr>
          <w:ilvl w:val="0"/>
          <w:numId w:val="0"/>
        </w:numPr>
        <w:spacing w:after="0" w:line="20" w:lineRule="atLeast"/>
        <w:ind w:left="1555"/>
        <w:rPr>
          <w:sz w:val="20"/>
        </w:rPr>
      </w:pPr>
    </w:p>
    <w:p w14:paraId="2477F0F6" w14:textId="12D115A4" w:rsidR="008C62FB" w:rsidRPr="006D75F3" w:rsidRDefault="00000000" w:rsidP="006D75F3">
      <w:pPr>
        <w:pStyle w:val="Untitledsubclause2"/>
        <w:spacing w:after="0" w:line="20" w:lineRule="atLeast"/>
        <w:rPr>
          <w:sz w:val="20"/>
        </w:rPr>
      </w:pPr>
      <w:bookmarkStart w:id="207" w:name="a510012"/>
      <w:r w:rsidRPr="006D75F3">
        <w:rPr>
          <w:sz w:val="20"/>
        </w:rPr>
        <w:t>if sent by [pre-paid first-class post or other] next working day delivery service, at 9.00 am on the second Business Day after posting [or at the time recorded by the delivery service and</w:t>
      </w:r>
      <w:bookmarkEnd w:id="207"/>
    </w:p>
    <w:p w14:paraId="7E1770C4" w14:textId="77777777" w:rsidR="008C62FB" w:rsidRPr="006D75F3" w:rsidRDefault="008C62FB" w:rsidP="006D75F3">
      <w:pPr>
        <w:pStyle w:val="Untitledsubclause2"/>
        <w:numPr>
          <w:ilvl w:val="0"/>
          <w:numId w:val="0"/>
        </w:numPr>
        <w:spacing w:after="0" w:line="20" w:lineRule="atLeast"/>
        <w:rPr>
          <w:sz w:val="20"/>
        </w:rPr>
      </w:pPr>
    </w:p>
    <w:p w14:paraId="4F0076FA" w14:textId="1534385C" w:rsidR="00F96AC2" w:rsidRPr="006D75F3" w:rsidRDefault="00000000" w:rsidP="006D75F3">
      <w:pPr>
        <w:pStyle w:val="Untitledsubclause2"/>
        <w:spacing w:after="0" w:line="20" w:lineRule="atLeast"/>
        <w:rPr>
          <w:sz w:val="20"/>
        </w:rPr>
      </w:pPr>
      <w:bookmarkStart w:id="208" w:name="a288852"/>
      <w:r w:rsidRPr="006D75F3">
        <w:rPr>
          <w:sz w:val="20"/>
        </w:rPr>
        <w:t xml:space="preserve">if sent by email, at the time of transmission, or if this time falls outside business hours in the place of receipt, when business hours resume. In this </w:t>
      </w:r>
      <w:r w:rsidRPr="006D75F3">
        <w:rPr>
          <w:sz w:val="20"/>
        </w:rPr>
        <w:fldChar w:fldCharType="begin"/>
      </w:r>
      <w:r w:rsidRPr="006D75F3">
        <w:rPr>
          <w:sz w:val="20"/>
        </w:rPr>
        <w:instrText>PAGEREF a288852\# "'clause '"  \h</w:instrText>
      </w:r>
      <w:r w:rsidRPr="006D75F3">
        <w:rPr>
          <w:sz w:val="20"/>
        </w:rPr>
      </w:r>
      <w:r w:rsidRPr="006D75F3">
        <w:rPr>
          <w:sz w:val="20"/>
        </w:rPr>
        <w:fldChar w:fldCharType="separate"/>
      </w:r>
      <w:r w:rsidRPr="006D75F3">
        <w:rPr>
          <w:sz w:val="20"/>
        </w:rPr>
        <w:t xml:space="preserve">clause </w:t>
      </w:r>
      <w:r w:rsidRPr="006D75F3">
        <w:rPr>
          <w:sz w:val="20"/>
        </w:rPr>
        <w:fldChar w:fldCharType="end"/>
      </w:r>
      <w:r w:rsidRPr="006D75F3">
        <w:rPr>
          <w:sz w:val="20"/>
        </w:rPr>
        <w:fldChar w:fldCharType="begin"/>
      </w:r>
      <w:r w:rsidRPr="006D75F3">
        <w:rPr>
          <w:sz w:val="20"/>
          <w:highlight w:val="lightGray"/>
        </w:rPr>
        <w:instrText>REF a288852 \h \w</w:instrText>
      </w:r>
      <w:r w:rsidR="00B8782F" w:rsidRPr="006D75F3">
        <w:rPr>
          <w:sz w:val="20"/>
        </w:rPr>
        <w:instrText xml:space="preserve"> \* MERGEFORMAT </w:instrText>
      </w:r>
      <w:r w:rsidRPr="006D75F3">
        <w:rPr>
          <w:sz w:val="20"/>
        </w:rPr>
      </w:r>
      <w:r w:rsidRPr="006D75F3">
        <w:rPr>
          <w:sz w:val="20"/>
        </w:rPr>
        <w:fldChar w:fldCharType="separate"/>
      </w:r>
      <w:r w:rsidRPr="006D75F3">
        <w:rPr>
          <w:sz w:val="20"/>
        </w:rPr>
        <w:t>30.2(c)</w:t>
      </w:r>
      <w:r w:rsidRPr="006D75F3">
        <w:rPr>
          <w:sz w:val="20"/>
        </w:rPr>
        <w:fldChar w:fldCharType="end"/>
      </w:r>
      <w:r w:rsidRPr="006D75F3">
        <w:rPr>
          <w:sz w:val="20"/>
        </w:rPr>
        <w:t>, business hours means 9:00 am to 5:00 pm Monday to Friday on a day that is not a public holiday in the place of receipt.</w:t>
      </w:r>
      <w:bookmarkEnd w:id="208"/>
    </w:p>
    <w:p w14:paraId="507D33D9" w14:textId="77777777" w:rsidR="008C62FB" w:rsidRPr="006D75F3" w:rsidRDefault="008C62FB" w:rsidP="006D75F3">
      <w:pPr>
        <w:pStyle w:val="Untitledsubclause2"/>
        <w:numPr>
          <w:ilvl w:val="0"/>
          <w:numId w:val="0"/>
        </w:numPr>
        <w:spacing w:after="0" w:line="20" w:lineRule="atLeast"/>
        <w:rPr>
          <w:sz w:val="20"/>
        </w:rPr>
      </w:pPr>
    </w:p>
    <w:p w14:paraId="5FE144D6" w14:textId="77777777" w:rsidR="00F96AC2" w:rsidRPr="006D75F3" w:rsidRDefault="00000000" w:rsidP="006D75F3">
      <w:pPr>
        <w:pStyle w:val="Untitledsubclause1"/>
        <w:spacing w:before="0" w:after="0" w:line="20" w:lineRule="atLeast"/>
        <w:rPr>
          <w:sz w:val="20"/>
        </w:rPr>
      </w:pPr>
      <w:bookmarkStart w:id="209" w:name="a159504"/>
      <w:r w:rsidRPr="006D75F3">
        <w:rPr>
          <w:sz w:val="20"/>
        </w:rPr>
        <w:t>This clause does not apply to the service of any proceedings or other documents in any legal action or, where applicable, any arbitration or other method of dispute resolution</w:t>
      </w:r>
      <w:bookmarkEnd w:id="209"/>
    </w:p>
    <w:p w14:paraId="5EDE9E18" w14:textId="77777777" w:rsidR="008C62FB" w:rsidRPr="006D75F3" w:rsidRDefault="008C62FB" w:rsidP="006D75F3">
      <w:pPr>
        <w:pStyle w:val="Untitledsubclause1"/>
        <w:numPr>
          <w:ilvl w:val="0"/>
          <w:numId w:val="0"/>
        </w:numPr>
        <w:spacing w:before="0" w:after="0" w:line="20" w:lineRule="atLeast"/>
        <w:ind w:left="720"/>
        <w:rPr>
          <w:sz w:val="20"/>
        </w:rPr>
      </w:pPr>
    </w:p>
    <w:p w14:paraId="7B966433" w14:textId="614489FC"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"31. Governing law" \l 1</w:instrText>
      </w:r>
      <w:r w:rsidRPr="006D75F3">
        <w:rPr>
          <w:sz w:val="20"/>
        </w:rPr>
        <w:fldChar w:fldCharType="end"/>
      </w:r>
      <w:bookmarkStart w:id="210" w:name="_Toc256000030"/>
      <w:bookmarkStart w:id="211" w:name="a138132"/>
      <w:r w:rsidR="008C62FB" w:rsidRPr="006D75F3">
        <w:rPr>
          <w:sz w:val="20"/>
        </w:rPr>
        <w:t>GOVERNING LAW</w:t>
      </w:r>
      <w:bookmarkEnd w:id="210"/>
      <w:bookmarkEnd w:id="211"/>
    </w:p>
    <w:p w14:paraId="1CE1BBD2" w14:textId="77777777" w:rsidR="008C62FB" w:rsidRPr="006D75F3" w:rsidRDefault="008C62FB" w:rsidP="006D75F3">
      <w:pPr>
        <w:pStyle w:val="TitleClause"/>
        <w:numPr>
          <w:ilvl w:val="0"/>
          <w:numId w:val="0"/>
        </w:numPr>
        <w:spacing w:before="0" w:after="0" w:line="20" w:lineRule="atLeast"/>
        <w:ind w:left="720"/>
        <w:rPr>
          <w:sz w:val="20"/>
        </w:rPr>
      </w:pPr>
    </w:p>
    <w:p w14:paraId="538EE8EB" w14:textId="77777777" w:rsidR="00F96AC2" w:rsidRPr="006D75F3" w:rsidRDefault="00000000" w:rsidP="006D75F3">
      <w:pPr>
        <w:pStyle w:val="NoNumUntitledsubclause1"/>
        <w:spacing w:before="0" w:after="0" w:line="20" w:lineRule="atLeast"/>
        <w:rPr>
          <w:sz w:val="20"/>
        </w:rPr>
      </w:pPr>
      <w:bookmarkStart w:id="212" w:name="a481070"/>
      <w:r w:rsidRPr="006D75F3">
        <w:rPr>
          <w:sz w:val="20"/>
        </w:rPr>
        <w:t>This Agreement and any dispute or claim (including non-contractual disputes or claims) arising out of or in connection with it or its subject matter or formation shall be governed by and construed in accordance with the law of England and Wales.</w:t>
      </w:r>
      <w:bookmarkEnd w:id="212"/>
    </w:p>
    <w:p w14:paraId="33E8A647" w14:textId="77777777" w:rsidR="008C62FB" w:rsidRPr="006D75F3" w:rsidRDefault="008C62FB" w:rsidP="006D75F3">
      <w:pPr>
        <w:pStyle w:val="NoNumUntitledsubclause1"/>
        <w:spacing w:before="0" w:after="0" w:line="20" w:lineRule="atLeast"/>
        <w:ind w:left="0"/>
        <w:rPr>
          <w:sz w:val="20"/>
        </w:rPr>
      </w:pPr>
    </w:p>
    <w:p w14:paraId="2C8A6AE5" w14:textId="77777777" w:rsidR="00F96AC2" w:rsidRPr="006D75F3" w:rsidRDefault="00000000" w:rsidP="006D75F3">
      <w:pPr>
        <w:pStyle w:val="TitleClause"/>
        <w:spacing w:before="0" w:after="0" w:line="20" w:lineRule="atLeast"/>
        <w:rPr>
          <w:sz w:val="20"/>
        </w:rPr>
      </w:pPr>
      <w:r w:rsidRPr="006D75F3">
        <w:rPr>
          <w:sz w:val="20"/>
        </w:rPr>
        <w:fldChar w:fldCharType="begin"/>
      </w:r>
      <w:r w:rsidRPr="006D75F3">
        <w:rPr>
          <w:sz w:val="20"/>
        </w:rPr>
        <w:instrText>TC "32. Jurisdiction" \l 1</w:instrText>
      </w:r>
      <w:r w:rsidRPr="006D75F3">
        <w:rPr>
          <w:sz w:val="20"/>
        </w:rPr>
        <w:fldChar w:fldCharType="end"/>
      </w:r>
      <w:bookmarkStart w:id="213" w:name="_Toc256000031"/>
      <w:bookmarkStart w:id="214" w:name="a329414"/>
      <w:r w:rsidRPr="006D75F3">
        <w:rPr>
          <w:sz w:val="20"/>
        </w:rPr>
        <w:t>Jurisdiction</w:t>
      </w:r>
      <w:bookmarkEnd w:id="213"/>
      <w:bookmarkEnd w:id="214"/>
    </w:p>
    <w:p w14:paraId="597504B3" w14:textId="77777777" w:rsidR="008C62FB" w:rsidRPr="006D75F3" w:rsidRDefault="008C62FB" w:rsidP="006D75F3">
      <w:pPr>
        <w:pStyle w:val="TitleClause"/>
        <w:numPr>
          <w:ilvl w:val="0"/>
          <w:numId w:val="0"/>
        </w:numPr>
        <w:spacing w:before="0" w:after="0" w:line="20" w:lineRule="atLeast"/>
        <w:ind w:left="720"/>
        <w:rPr>
          <w:sz w:val="20"/>
        </w:rPr>
      </w:pPr>
    </w:p>
    <w:p w14:paraId="55339FC4" w14:textId="46E37DE2" w:rsidR="00F96AC2" w:rsidRPr="006D75F3" w:rsidRDefault="00000000" w:rsidP="006D75F3">
      <w:pPr>
        <w:pStyle w:val="NoNumUntitledsubclause1"/>
        <w:spacing w:before="0" w:after="0" w:line="20" w:lineRule="atLeast"/>
        <w:rPr>
          <w:sz w:val="20"/>
        </w:rPr>
      </w:pPr>
      <w:bookmarkStart w:id="215" w:name="a379488"/>
      <w:r w:rsidRPr="006D75F3">
        <w:rPr>
          <w:sz w:val="20"/>
        </w:rPr>
        <w:t>Each party irrevocably agrees that the courts of England and Wales shall have exclusive jurisdiction to settle any dispute or claim (including non-contractual disputes or claims), arising out of or in connection with this Agreement or its subject matter or formation.</w:t>
      </w:r>
      <w:bookmarkEnd w:id="215"/>
    </w:p>
    <w:p w14:paraId="7A18E920" w14:textId="77777777" w:rsidR="008C62FB" w:rsidRPr="006D75F3" w:rsidRDefault="008C62FB" w:rsidP="006D75F3">
      <w:pPr>
        <w:pStyle w:val="NoNumUntitledsubclause1"/>
        <w:spacing w:before="0" w:after="0" w:line="20" w:lineRule="atLeast"/>
        <w:ind w:left="0"/>
        <w:rPr>
          <w:sz w:val="20"/>
        </w:rPr>
      </w:pPr>
    </w:p>
    <w:p w14:paraId="38851478" w14:textId="77777777" w:rsidR="00F96AC2" w:rsidRPr="006D75F3" w:rsidRDefault="00000000" w:rsidP="006D75F3">
      <w:pPr>
        <w:pStyle w:val="Testimonium"/>
        <w:spacing w:after="0" w:line="20" w:lineRule="atLeast"/>
        <w:rPr>
          <w:sz w:val="20"/>
        </w:rPr>
      </w:pPr>
      <w:r w:rsidRPr="006D75F3">
        <w:rPr>
          <w:sz w:val="20"/>
        </w:rPr>
        <w:t>This Agreement has been entered into on the date stated at the beginning of it.</w:t>
      </w:r>
    </w:p>
    <w:p w14:paraId="3C14EC4B" w14:textId="77777777" w:rsidR="006D75F3" w:rsidRDefault="006D75F3" w:rsidP="006D75F3">
      <w:pPr>
        <w:tabs>
          <w:tab w:val="left" w:pos="2340"/>
        </w:tabs>
        <w:spacing w:after="0" w:line="20" w:lineRule="atLeast"/>
        <w:rPr>
          <w:sz w:val="20"/>
          <w:szCs w:val="20"/>
          <w:lang w:eastAsia="en-US"/>
        </w:rPr>
      </w:pPr>
    </w:p>
    <w:p w14:paraId="3590EAF2" w14:textId="77777777" w:rsidR="006D75F3" w:rsidRDefault="006D75F3" w:rsidP="006D75F3">
      <w:pPr>
        <w:tabs>
          <w:tab w:val="left" w:pos="2340"/>
        </w:tabs>
        <w:spacing w:after="0" w:line="20" w:lineRule="atLeast"/>
        <w:rPr>
          <w:sz w:val="20"/>
          <w:szCs w:val="20"/>
          <w:lang w:eastAsia="en-US"/>
        </w:rPr>
      </w:pPr>
    </w:p>
    <w:p w14:paraId="669CCF02" w14:textId="77777777" w:rsidR="006D75F3" w:rsidRDefault="006D75F3" w:rsidP="006D75F3">
      <w:pPr>
        <w:tabs>
          <w:tab w:val="left" w:pos="2340"/>
        </w:tabs>
        <w:spacing w:after="0" w:line="20" w:lineRule="atLeast"/>
        <w:rPr>
          <w:sz w:val="20"/>
          <w:szCs w:val="20"/>
          <w:lang w:eastAsia="en-US"/>
        </w:rPr>
      </w:pPr>
    </w:p>
    <w:p w14:paraId="2E1F2C11" w14:textId="77777777" w:rsidR="006D75F3" w:rsidRDefault="006D75F3" w:rsidP="006D75F3">
      <w:pPr>
        <w:tabs>
          <w:tab w:val="left" w:pos="2340"/>
        </w:tabs>
        <w:spacing w:after="0" w:line="20" w:lineRule="atLeast"/>
        <w:rPr>
          <w:sz w:val="20"/>
          <w:szCs w:val="20"/>
          <w:lang w:eastAsia="en-US"/>
        </w:rPr>
      </w:pPr>
    </w:p>
    <w:p w14:paraId="453256F9" w14:textId="77777777" w:rsidR="006D75F3" w:rsidRDefault="006D75F3" w:rsidP="006D75F3">
      <w:pPr>
        <w:tabs>
          <w:tab w:val="left" w:pos="2340"/>
        </w:tabs>
        <w:spacing w:after="0" w:line="20" w:lineRule="atLeast"/>
        <w:rPr>
          <w:sz w:val="20"/>
          <w:szCs w:val="20"/>
          <w:lang w:eastAsia="en-US"/>
        </w:rPr>
      </w:pPr>
    </w:p>
    <w:p w14:paraId="157D09B3" w14:textId="77777777" w:rsidR="006D75F3" w:rsidRDefault="006D75F3" w:rsidP="006D75F3">
      <w:pPr>
        <w:tabs>
          <w:tab w:val="left" w:pos="2340"/>
        </w:tabs>
        <w:spacing w:after="0" w:line="20" w:lineRule="atLeast"/>
        <w:rPr>
          <w:sz w:val="20"/>
          <w:szCs w:val="20"/>
          <w:lang w:eastAsia="en-US"/>
        </w:rPr>
      </w:pPr>
    </w:p>
    <w:p w14:paraId="3DEB919F" w14:textId="77777777" w:rsidR="006D75F3" w:rsidRDefault="006D75F3" w:rsidP="006D75F3">
      <w:pPr>
        <w:tabs>
          <w:tab w:val="left" w:pos="2340"/>
        </w:tabs>
        <w:spacing w:after="0" w:line="20" w:lineRule="atLeast"/>
        <w:rPr>
          <w:sz w:val="20"/>
          <w:szCs w:val="20"/>
          <w:lang w:eastAsia="en-US"/>
        </w:rPr>
      </w:pPr>
    </w:p>
    <w:p w14:paraId="1CF63C59" w14:textId="77777777" w:rsidR="006D75F3" w:rsidRDefault="006D75F3" w:rsidP="006D75F3">
      <w:pPr>
        <w:tabs>
          <w:tab w:val="left" w:pos="2340"/>
        </w:tabs>
        <w:spacing w:after="0" w:line="20" w:lineRule="atLeast"/>
        <w:rPr>
          <w:sz w:val="20"/>
          <w:szCs w:val="20"/>
          <w:lang w:eastAsia="en-US"/>
        </w:rPr>
      </w:pPr>
    </w:p>
    <w:p w14:paraId="1F725706" w14:textId="77777777" w:rsidR="006D75F3" w:rsidRDefault="006D75F3" w:rsidP="006D75F3">
      <w:pPr>
        <w:tabs>
          <w:tab w:val="left" w:pos="2340"/>
        </w:tabs>
        <w:spacing w:after="0" w:line="20" w:lineRule="atLeast"/>
        <w:rPr>
          <w:sz w:val="20"/>
          <w:szCs w:val="20"/>
          <w:lang w:eastAsia="en-US"/>
        </w:rPr>
      </w:pPr>
    </w:p>
    <w:p w14:paraId="7BD8B424" w14:textId="77777777" w:rsidR="006D75F3" w:rsidRDefault="006D75F3" w:rsidP="006D75F3">
      <w:pPr>
        <w:tabs>
          <w:tab w:val="left" w:pos="2340"/>
        </w:tabs>
        <w:spacing w:after="0" w:line="20" w:lineRule="atLeast"/>
        <w:rPr>
          <w:sz w:val="20"/>
          <w:szCs w:val="20"/>
          <w:lang w:eastAsia="en-US"/>
        </w:rPr>
      </w:pPr>
    </w:p>
    <w:p w14:paraId="339F577E" w14:textId="77777777" w:rsidR="006D75F3" w:rsidRDefault="006D75F3" w:rsidP="006D75F3">
      <w:pPr>
        <w:tabs>
          <w:tab w:val="left" w:pos="2340"/>
        </w:tabs>
        <w:spacing w:after="0" w:line="20" w:lineRule="atLeast"/>
        <w:rPr>
          <w:sz w:val="20"/>
          <w:szCs w:val="20"/>
          <w:lang w:eastAsia="en-US"/>
        </w:rPr>
      </w:pPr>
    </w:p>
    <w:p w14:paraId="3E4547E8" w14:textId="77777777" w:rsidR="006D75F3" w:rsidRDefault="006D75F3" w:rsidP="006D75F3">
      <w:pPr>
        <w:tabs>
          <w:tab w:val="left" w:pos="2340"/>
        </w:tabs>
        <w:spacing w:after="0" w:line="20" w:lineRule="atLeast"/>
        <w:rPr>
          <w:sz w:val="20"/>
          <w:szCs w:val="20"/>
          <w:lang w:eastAsia="en-US"/>
        </w:rPr>
      </w:pPr>
    </w:p>
    <w:p w14:paraId="113700B4" w14:textId="77777777" w:rsidR="006D75F3" w:rsidRDefault="006D75F3" w:rsidP="006D75F3">
      <w:pPr>
        <w:tabs>
          <w:tab w:val="left" w:pos="2340"/>
        </w:tabs>
        <w:spacing w:after="0" w:line="20" w:lineRule="atLeast"/>
        <w:rPr>
          <w:sz w:val="20"/>
          <w:szCs w:val="20"/>
          <w:lang w:eastAsia="en-US"/>
        </w:rPr>
      </w:pPr>
    </w:p>
    <w:p w14:paraId="7EC9C13B" w14:textId="77777777" w:rsidR="006D75F3" w:rsidRDefault="006D75F3" w:rsidP="006D75F3">
      <w:pPr>
        <w:tabs>
          <w:tab w:val="left" w:pos="2340"/>
        </w:tabs>
        <w:spacing w:after="0" w:line="20" w:lineRule="atLeast"/>
        <w:rPr>
          <w:sz w:val="20"/>
          <w:szCs w:val="20"/>
          <w:lang w:eastAsia="en-US"/>
        </w:rPr>
      </w:pPr>
    </w:p>
    <w:p w14:paraId="2BBC2761" w14:textId="77777777" w:rsidR="006D75F3" w:rsidRDefault="006D75F3" w:rsidP="006D75F3">
      <w:pPr>
        <w:tabs>
          <w:tab w:val="left" w:pos="2340"/>
        </w:tabs>
        <w:spacing w:after="0" w:line="20" w:lineRule="atLeast"/>
        <w:rPr>
          <w:sz w:val="20"/>
          <w:szCs w:val="20"/>
          <w:lang w:eastAsia="en-US"/>
        </w:rPr>
      </w:pPr>
    </w:p>
    <w:p w14:paraId="5A912596" w14:textId="77777777" w:rsidR="006D75F3" w:rsidRDefault="006D75F3" w:rsidP="006D75F3">
      <w:pPr>
        <w:tabs>
          <w:tab w:val="left" w:pos="2340"/>
        </w:tabs>
        <w:spacing w:after="0" w:line="20" w:lineRule="atLeast"/>
        <w:rPr>
          <w:sz w:val="20"/>
          <w:szCs w:val="20"/>
          <w:lang w:eastAsia="en-US"/>
        </w:rPr>
      </w:pPr>
    </w:p>
    <w:p w14:paraId="174341CF" w14:textId="77777777" w:rsidR="006D75F3" w:rsidRDefault="006D75F3" w:rsidP="006D75F3">
      <w:pPr>
        <w:tabs>
          <w:tab w:val="left" w:pos="2340"/>
        </w:tabs>
        <w:spacing w:after="0" w:line="20" w:lineRule="atLeast"/>
        <w:rPr>
          <w:sz w:val="20"/>
          <w:szCs w:val="20"/>
          <w:lang w:eastAsia="en-US"/>
        </w:rPr>
      </w:pPr>
    </w:p>
    <w:p w14:paraId="62C18CE5" w14:textId="77777777" w:rsidR="006D75F3" w:rsidRDefault="006D75F3" w:rsidP="006D75F3">
      <w:pPr>
        <w:tabs>
          <w:tab w:val="left" w:pos="2340"/>
        </w:tabs>
        <w:spacing w:after="0" w:line="20" w:lineRule="atLeast"/>
        <w:rPr>
          <w:sz w:val="20"/>
          <w:szCs w:val="20"/>
          <w:lang w:eastAsia="en-US"/>
        </w:rPr>
      </w:pPr>
    </w:p>
    <w:p w14:paraId="60E22D2D" w14:textId="77777777" w:rsidR="006D75F3" w:rsidRDefault="006D75F3" w:rsidP="006D75F3">
      <w:pPr>
        <w:tabs>
          <w:tab w:val="left" w:pos="2340"/>
        </w:tabs>
        <w:spacing w:after="0" w:line="20" w:lineRule="atLeast"/>
        <w:rPr>
          <w:sz w:val="20"/>
          <w:szCs w:val="20"/>
          <w:lang w:eastAsia="en-US"/>
        </w:rPr>
      </w:pPr>
    </w:p>
    <w:p w14:paraId="7BF1F4B0" w14:textId="77777777" w:rsidR="006D75F3" w:rsidRDefault="006D75F3" w:rsidP="006D75F3">
      <w:pPr>
        <w:tabs>
          <w:tab w:val="left" w:pos="2340"/>
        </w:tabs>
        <w:spacing w:after="0" w:line="20" w:lineRule="atLeast"/>
        <w:rPr>
          <w:sz w:val="20"/>
          <w:szCs w:val="20"/>
          <w:lang w:eastAsia="en-US"/>
        </w:rPr>
      </w:pPr>
    </w:p>
    <w:p w14:paraId="4FF8DC99" w14:textId="77777777" w:rsidR="006D75F3" w:rsidRDefault="006D75F3" w:rsidP="006D75F3">
      <w:pPr>
        <w:tabs>
          <w:tab w:val="left" w:pos="2340"/>
        </w:tabs>
        <w:spacing w:after="0" w:line="20" w:lineRule="atLeast"/>
        <w:rPr>
          <w:sz w:val="20"/>
          <w:szCs w:val="20"/>
          <w:lang w:eastAsia="en-US"/>
        </w:rPr>
      </w:pPr>
    </w:p>
    <w:p w14:paraId="717F507F" w14:textId="77777777" w:rsidR="006D75F3" w:rsidRDefault="006D75F3" w:rsidP="006D75F3">
      <w:pPr>
        <w:tabs>
          <w:tab w:val="left" w:pos="2340"/>
        </w:tabs>
        <w:spacing w:after="0" w:line="20" w:lineRule="atLeast"/>
        <w:rPr>
          <w:sz w:val="20"/>
          <w:szCs w:val="20"/>
          <w:lang w:eastAsia="en-US"/>
        </w:rPr>
      </w:pPr>
    </w:p>
    <w:p w14:paraId="276AE547" w14:textId="77777777" w:rsidR="00180C50" w:rsidRDefault="00180C50" w:rsidP="006D75F3">
      <w:pPr>
        <w:tabs>
          <w:tab w:val="left" w:pos="2340"/>
        </w:tabs>
        <w:spacing w:after="0" w:line="20" w:lineRule="atLeast"/>
        <w:jc w:val="center"/>
        <w:rPr>
          <w:b/>
          <w:bCs/>
          <w:sz w:val="20"/>
          <w:szCs w:val="20"/>
          <w:lang w:eastAsia="en-US"/>
        </w:rPr>
      </w:pPr>
    </w:p>
    <w:p w14:paraId="23AE22E7" w14:textId="77777777" w:rsidR="00180C50" w:rsidRDefault="00180C50" w:rsidP="006D75F3">
      <w:pPr>
        <w:tabs>
          <w:tab w:val="left" w:pos="2340"/>
        </w:tabs>
        <w:spacing w:after="0" w:line="20" w:lineRule="atLeast"/>
        <w:jc w:val="center"/>
        <w:rPr>
          <w:b/>
          <w:bCs/>
          <w:sz w:val="20"/>
          <w:szCs w:val="20"/>
          <w:lang w:eastAsia="en-US"/>
        </w:rPr>
      </w:pPr>
    </w:p>
    <w:p w14:paraId="74FC52A4" w14:textId="77777777" w:rsidR="00180C50" w:rsidRDefault="00180C50" w:rsidP="006D75F3">
      <w:pPr>
        <w:tabs>
          <w:tab w:val="left" w:pos="2340"/>
        </w:tabs>
        <w:spacing w:after="0" w:line="20" w:lineRule="atLeast"/>
        <w:jc w:val="center"/>
        <w:rPr>
          <w:b/>
          <w:bCs/>
          <w:sz w:val="20"/>
          <w:szCs w:val="20"/>
          <w:lang w:eastAsia="en-US"/>
        </w:rPr>
      </w:pPr>
    </w:p>
    <w:p w14:paraId="5B32C005" w14:textId="77777777" w:rsidR="00180C50" w:rsidRDefault="00180C50" w:rsidP="006D75F3">
      <w:pPr>
        <w:tabs>
          <w:tab w:val="left" w:pos="2340"/>
        </w:tabs>
        <w:spacing w:after="0" w:line="20" w:lineRule="atLeast"/>
        <w:jc w:val="center"/>
        <w:rPr>
          <w:b/>
          <w:bCs/>
          <w:sz w:val="20"/>
          <w:szCs w:val="20"/>
          <w:lang w:eastAsia="en-US"/>
        </w:rPr>
      </w:pPr>
    </w:p>
    <w:p w14:paraId="4AD4C09E" w14:textId="77777777" w:rsidR="00180C50" w:rsidRDefault="00180C50" w:rsidP="006D75F3">
      <w:pPr>
        <w:tabs>
          <w:tab w:val="left" w:pos="2340"/>
        </w:tabs>
        <w:spacing w:after="0" w:line="20" w:lineRule="atLeast"/>
        <w:jc w:val="center"/>
        <w:rPr>
          <w:b/>
          <w:bCs/>
          <w:sz w:val="20"/>
          <w:szCs w:val="20"/>
          <w:lang w:eastAsia="en-US"/>
        </w:rPr>
      </w:pPr>
    </w:p>
    <w:p w14:paraId="7962FBF9" w14:textId="77777777" w:rsidR="00180C50" w:rsidRDefault="00180C50" w:rsidP="006D75F3">
      <w:pPr>
        <w:tabs>
          <w:tab w:val="left" w:pos="2340"/>
        </w:tabs>
        <w:spacing w:after="0" w:line="20" w:lineRule="atLeast"/>
        <w:jc w:val="center"/>
        <w:rPr>
          <w:b/>
          <w:bCs/>
          <w:sz w:val="20"/>
          <w:szCs w:val="20"/>
          <w:lang w:eastAsia="en-US"/>
        </w:rPr>
      </w:pPr>
    </w:p>
    <w:p w14:paraId="17B891BC" w14:textId="77777777" w:rsidR="00180C50" w:rsidRDefault="00180C50" w:rsidP="006D75F3">
      <w:pPr>
        <w:tabs>
          <w:tab w:val="left" w:pos="2340"/>
        </w:tabs>
        <w:spacing w:after="0" w:line="20" w:lineRule="atLeast"/>
        <w:jc w:val="center"/>
        <w:rPr>
          <w:b/>
          <w:bCs/>
          <w:sz w:val="20"/>
          <w:szCs w:val="20"/>
          <w:lang w:eastAsia="en-US"/>
        </w:rPr>
      </w:pPr>
    </w:p>
    <w:p w14:paraId="1B200499" w14:textId="77777777" w:rsidR="00180C50" w:rsidRDefault="00180C50" w:rsidP="006D75F3">
      <w:pPr>
        <w:tabs>
          <w:tab w:val="left" w:pos="2340"/>
        </w:tabs>
        <w:spacing w:after="0" w:line="20" w:lineRule="atLeast"/>
        <w:jc w:val="center"/>
        <w:rPr>
          <w:b/>
          <w:bCs/>
          <w:sz w:val="20"/>
          <w:szCs w:val="20"/>
          <w:lang w:eastAsia="en-US"/>
        </w:rPr>
      </w:pPr>
    </w:p>
    <w:p w14:paraId="50A60923" w14:textId="1EBB8668" w:rsidR="006D75F3" w:rsidRPr="006D75F3" w:rsidRDefault="006D75F3" w:rsidP="006D75F3">
      <w:pPr>
        <w:tabs>
          <w:tab w:val="left" w:pos="2340"/>
        </w:tabs>
        <w:spacing w:after="0" w:line="20" w:lineRule="atLeast"/>
        <w:jc w:val="center"/>
        <w:rPr>
          <w:b/>
          <w:bCs/>
          <w:sz w:val="20"/>
          <w:szCs w:val="20"/>
          <w:lang w:eastAsia="en-US"/>
        </w:rPr>
      </w:pPr>
      <w:r w:rsidRPr="006D75F3">
        <w:rPr>
          <w:b/>
          <w:bCs/>
          <w:sz w:val="20"/>
          <w:szCs w:val="20"/>
          <w:lang w:eastAsia="en-US"/>
        </w:rPr>
        <w:t>SCHEDULE 1</w:t>
      </w:r>
    </w:p>
    <w:p w14:paraId="199D976A" w14:textId="7F54D18E" w:rsidR="006D75F3" w:rsidRPr="006D75F3" w:rsidRDefault="006D75F3" w:rsidP="006D75F3">
      <w:pPr>
        <w:tabs>
          <w:tab w:val="left" w:pos="2340"/>
        </w:tabs>
        <w:spacing w:after="0" w:line="20" w:lineRule="atLeast"/>
        <w:jc w:val="center"/>
        <w:rPr>
          <w:b/>
          <w:bCs/>
          <w:sz w:val="20"/>
          <w:szCs w:val="20"/>
          <w:lang w:eastAsia="en-US"/>
        </w:rPr>
      </w:pPr>
      <w:r w:rsidRPr="006D75F3">
        <w:rPr>
          <w:b/>
          <w:bCs/>
          <w:sz w:val="20"/>
          <w:szCs w:val="20"/>
          <w:lang w:eastAsia="en-US"/>
        </w:rPr>
        <w:t>PURPOSE</w:t>
      </w:r>
    </w:p>
    <w:p w14:paraId="3DCC26F7" w14:textId="77777777" w:rsidR="006D75F3" w:rsidRDefault="006D75F3" w:rsidP="006D75F3">
      <w:pPr>
        <w:tabs>
          <w:tab w:val="left" w:pos="2340"/>
        </w:tabs>
        <w:spacing w:after="0" w:line="20" w:lineRule="atLeast"/>
        <w:rPr>
          <w:sz w:val="20"/>
          <w:szCs w:val="20"/>
          <w:lang w:eastAsia="en-US"/>
        </w:rPr>
      </w:pPr>
    </w:p>
    <w:p w14:paraId="73510FB2" w14:textId="1207CF3D" w:rsidR="006D75F3" w:rsidRPr="006D75F3" w:rsidRDefault="006D75F3" w:rsidP="006D75F3">
      <w:pPr>
        <w:tabs>
          <w:tab w:val="left" w:pos="2340"/>
        </w:tabs>
        <w:spacing w:after="0" w:line="20" w:lineRule="atLeast"/>
        <w:rPr>
          <w:sz w:val="20"/>
          <w:szCs w:val="20"/>
          <w:lang w:eastAsia="en-US"/>
        </w:rPr>
      </w:pPr>
      <w:r w:rsidRPr="0018528C">
        <w:rPr>
          <w:sz w:val="20"/>
          <w:szCs w:val="20"/>
          <w:lang w:eastAsia="en-US"/>
        </w:rPr>
        <w:t>[ADD]</w:t>
      </w:r>
    </w:p>
    <w:p w14:paraId="150553FE" w14:textId="2A5ECDBF" w:rsidR="006D75F3" w:rsidRPr="006D75F3" w:rsidRDefault="006D75F3" w:rsidP="006D75F3">
      <w:pPr>
        <w:pStyle w:val="Schedule"/>
        <w:pageBreakBefore/>
        <w:numPr>
          <w:ilvl w:val="0"/>
          <w:numId w:val="0"/>
        </w:numPr>
        <w:spacing w:before="0" w:after="0" w:line="20" w:lineRule="atLeast"/>
        <w:rPr>
          <w:sz w:val="20"/>
          <w:szCs w:val="20"/>
          <w:lang w:val="en-GB"/>
        </w:rPr>
      </w:pPr>
    </w:p>
    <w:p w14:paraId="2E3C2E85" w14:textId="5DC55A06" w:rsidR="006D75F3" w:rsidRDefault="006D75F3" w:rsidP="006D75F3">
      <w:pPr>
        <w:tabs>
          <w:tab w:val="left" w:pos="1440"/>
        </w:tabs>
        <w:spacing w:after="0" w:line="20" w:lineRule="atLeast"/>
        <w:rPr>
          <w:sz w:val="20"/>
          <w:szCs w:val="20"/>
          <w:lang w:eastAsia="en-US"/>
        </w:rPr>
      </w:pPr>
    </w:p>
    <w:p w14:paraId="06E39541" w14:textId="08B769EB" w:rsidR="006D75F3" w:rsidRPr="006D75F3" w:rsidRDefault="006D75F3" w:rsidP="006D75F3">
      <w:pPr>
        <w:tabs>
          <w:tab w:val="left" w:pos="1440"/>
        </w:tabs>
        <w:spacing w:after="0" w:line="20" w:lineRule="atLeast"/>
        <w:jc w:val="center"/>
        <w:rPr>
          <w:b/>
          <w:bCs/>
          <w:sz w:val="20"/>
          <w:szCs w:val="20"/>
          <w:lang w:eastAsia="en-US"/>
        </w:rPr>
      </w:pPr>
      <w:r w:rsidRPr="006D75F3">
        <w:rPr>
          <w:b/>
          <w:bCs/>
          <w:sz w:val="20"/>
          <w:szCs w:val="20"/>
          <w:lang w:eastAsia="en-US"/>
        </w:rPr>
        <w:t>SCHEDULE 2</w:t>
      </w:r>
    </w:p>
    <w:p w14:paraId="308FC13A" w14:textId="7C469E1B" w:rsidR="006D75F3" w:rsidRPr="0018528C" w:rsidRDefault="006D75F3" w:rsidP="006D75F3">
      <w:pPr>
        <w:tabs>
          <w:tab w:val="left" w:pos="1440"/>
        </w:tabs>
        <w:spacing w:after="0" w:line="20" w:lineRule="atLeast"/>
        <w:jc w:val="center"/>
        <w:rPr>
          <w:b/>
          <w:bCs/>
          <w:sz w:val="20"/>
          <w:szCs w:val="20"/>
          <w:lang w:eastAsia="en-US"/>
        </w:rPr>
      </w:pPr>
      <w:r w:rsidRPr="0018528C">
        <w:rPr>
          <w:b/>
          <w:bCs/>
          <w:sz w:val="20"/>
          <w:szCs w:val="20"/>
          <w:lang w:eastAsia="en-US"/>
        </w:rPr>
        <w:t>FURTHER DETAIL ON SHARED PERSONAL DATA AND ACESS AND PROCESSING RESTRICTIONS</w:t>
      </w:r>
    </w:p>
    <w:p w14:paraId="10BFA799" w14:textId="77777777" w:rsidR="006D75F3" w:rsidRPr="0018528C" w:rsidRDefault="006D75F3" w:rsidP="006D75F3">
      <w:pPr>
        <w:tabs>
          <w:tab w:val="left" w:pos="1440"/>
        </w:tabs>
        <w:spacing w:after="0" w:line="20" w:lineRule="atLeast"/>
        <w:rPr>
          <w:sz w:val="20"/>
          <w:szCs w:val="20"/>
          <w:lang w:eastAsia="en-US"/>
        </w:rPr>
      </w:pPr>
    </w:p>
    <w:p w14:paraId="77392A36" w14:textId="31421F7F" w:rsidR="006D75F3" w:rsidRDefault="006D75F3" w:rsidP="006D75F3">
      <w:pPr>
        <w:tabs>
          <w:tab w:val="left" w:pos="1440"/>
        </w:tabs>
        <w:spacing w:after="0" w:line="20" w:lineRule="atLeast"/>
        <w:rPr>
          <w:sz w:val="20"/>
          <w:szCs w:val="20"/>
          <w:lang w:eastAsia="en-US"/>
        </w:rPr>
      </w:pPr>
      <w:r w:rsidRPr="0018528C">
        <w:rPr>
          <w:sz w:val="20"/>
          <w:szCs w:val="20"/>
          <w:lang w:eastAsia="en-US"/>
        </w:rPr>
        <w:t>[ADD]</w:t>
      </w:r>
    </w:p>
    <w:p w14:paraId="297B9A50" w14:textId="77777777" w:rsidR="006D75F3" w:rsidRDefault="006D75F3" w:rsidP="006D75F3">
      <w:pPr>
        <w:tabs>
          <w:tab w:val="left" w:pos="1440"/>
        </w:tabs>
        <w:spacing w:after="0" w:line="20" w:lineRule="atLeast"/>
        <w:rPr>
          <w:sz w:val="20"/>
          <w:szCs w:val="20"/>
          <w:lang w:eastAsia="en-US"/>
        </w:rPr>
      </w:pPr>
    </w:p>
    <w:p w14:paraId="552B3012" w14:textId="742538F3" w:rsidR="006D75F3" w:rsidRDefault="006D75F3" w:rsidP="006D75F3">
      <w:pPr>
        <w:tabs>
          <w:tab w:val="left" w:pos="1068"/>
        </w:tabs>
        <w:spacing w:after="0" w:line="20" w:lineRule="atLeast"/>
        <w:rPr>
          <w:sz w:val="20"/>
          <w:szCs w:val="20"/>
          <w:lang w:eastAsia="en-US"/>
        </w:rPr>
      </w:pPr>
    </w:p>
    <w:p w14:paraId="479980BE" w14:textId="77777777" w:rsidR="006D75F3" w:rsidRDefault="006D75F3" w:rsidP="006D75F3">
      <w:pPr>
        <w:tabs>
          <w:tab w:val="left" w:pos="1068"/>
        </w:tabs>
        <w:spacing w:after="0" w:line="20" w:lineRule="atLeast"/>
        <w:rPr>
          <w:sz w:val="20"/>
          <w:szCs w:val="20"/>
          <w:lang w:eastAsia="en-US"/>
        </w:rPr>
      </w:pPr>
    </w:p>
    <w:p w14:paraId="2684B868" w14:textId="77777777" w:rsidR="006D75F3" w:rsidRDefault="006D75F3" w:rsidP="006D75F3">
      <w:pPr>
        <w:tabs>
          <w:tab w:val="left" w:pos="1068"/>
        </w:tabs>
        <w:spacing w:after="0" w:line="20" w:lineRule="atLeast"/>
        <w:rPr>
          <w:sz w:val="20"/>
          <w:szCs w:val="20"/>
          <w:lang w:eastAsia="en-US"/>
        </w:rPr>
      </w:pPr>
    </w:p>
    <w:p w14:paraId="2D44C45A" w14:textId="77777777" w:rsidR="006D75F3" w:rsidRDefault="006D75F3" w:rsidP="006D75F3">
      <w:pPr>
        <w:tabs>
          <w:tab w:val="left" w:pos="1068"/>
        </w:tabs>
        <w:spacing w:after="0" w:line="20" w:lineRule="atLeast"/>
        <w:rPr>
          <w:sz w:val="20"/>
          <w:szCs w:val="20"/>
          <w:lang w:eastAsia="en-US"/>
        </w:rPr>
      </w:pPr>
    </w:p>
    <w:p w14:paraId="65769A7A" w14:textId="77777777" w:rsidR="006D75F3" w:rsidRDefault="006D75F3" w:rsidP="006D75F3">
      <w:pPr>
        <w:tabs>
          <w:tab w:val="left" w:pos="1068"/>
        </w:tabs>
        <w:spacing w:after="0" w:line="20" w:lineRule="atLeast"/>
        <w:rPr>
          <w:sz w:val="20"/>
          <w:szCs w:val="20"/>
          <w:lang w:eastAsia="en-US"/>
        </w:rPr>
      </w:pPr>
    </w:p>
    <w:p w14:paraId="38ABC79D" w14:textId="77777777" w:rsidR="006D75F3" w:rsidRDefault="006D75F3" w:rsidP="006D75F3">
      <w:pPr>
        <w:tabs>
          <w:tab w:val="left" w:pos="1068"/>
        </w:tabs>
        <w:spacing w:after="0" w:line="20" w:lineRule="atLeast"/>
        <w:rPr>
          <w:sz w:val="20"/>
          <w:szCs w:val="20"/>
          <w:lang w:eastAsia="en-US"/>
        </w:rPr>
      </w:pPr>
    </w:p>
    <w:p w14:paraId="2581184B" w14:textId="77777777" w:rsidR="006D75F3" w:rsidRDefault="006D75F3" w:rsidP="006D75F3">
      <w:pPr>
        <w:tabs>
          <w:tab w:val="left" w:pos="1068"/>
        </w:tabs>
        <w:spacing w:after="0" w:line="20" w:lineRule="atLeast"/>
        <w:rPr>
          <w:sz w:val="20"/>
          <w:szCs w:val="20"/>
          <w:lang w:eastAsia="en-US"/>
        </w:rPr>
      </w:pPr>
    </w:p>
    <w:p w14:paraId="2C3AB41A" w14:textId="77777777" w:rsidR="006D75F3" w:rsidRDefault="006D75F3" w:rsidP="006D75F3">
      <w:pPr>
        <w:tabs>
          <w:tab w:val="left" w:pos="1068"/>
        </w:tabs>
        <w:spacing w:after="0" w:line="20" w:lineRule="atLeast"/>
        <w:rPr>
          <w:sz w:val="20"/>
          <w:szCs w:val="20"/>
          <w:lang w:eastAsia="en-US"/>
        </w:rPr>
      </w:pPr>
    </w:p>
    <w:p w14:paraId="462F9F79" w14:textId="77777777" w:rsidR="006D75F3" w:rsidRDefault="006D75F3" w:rsidP="006D75F3">
      <w:pPr>
        <w:tabs>
          <w:tab w:val="left" w:pos="1068"/>
        </w:tabs>
        <w:spacing w:after="0" w:line="20" w:lineRule="atLeast"/>
        <w:rPr>
          <w:sz w:val="20"/>
          <w:szCs w:val="20"/>
          <w:lang w:eastAsia="en-US"/>
        </w:rPr>
      </w:pPr>
    </w:p>
    <w:p w14:paraId="72393801" w14:textId="77777777" w:rsidR="006D75F3" w:rsidRDefault="006D75F3" w:rsidP="006D75F3">
      <w:pPr>
        <w:tabs>
          <w:tab w:val="left" w:pos="1068"/>
        </w:tabs>
        <w:spacing w:after="0" w:line="20" w:lineRule="atLeast"/>
        <w:rPr>
          <w:sz w:val="20"/>
          <w:szCs w:val="20"/>
          <w:lang w:eastAsia="en-US"/>
        </w:rPr>
      </w:pPr>
    </w:p>
    <w:p w14:paraId="16B2DF5C" w14:textId="77777777" w:rsidR="006D75F3" w:rsidRDefault="006D75F3" w:rsidP="006D75F3">
      <w:pPr>
        <w:tabs>
          <w:tab w:val="left" w:pos="1068"/>
        </w:tabs>
        <w:spacing w:after="0" w:line="20" w:lineRule="atLeast"/>
        <w:rPr>
          <w:sz w:val="20"/>
          <w:szCs w:val="20"/>
          <w:lang w:eastAsia="en-US"/>
        </w:rPr>
      </w:pPr>
    </w:p>
    <w:p w14:paraId="23C9120C" w14:textId="77777777" w:rsidR="006D75F3" w:rsidRDefault="006D75F3" w:rsidP="006D75F3">
      <w:pPr>
        <w:tabs>
          <w:tab w:val="left" w:pos="1068"/>
        </w:tabs>
        <w:spacing w:after="0" w:line="20" w:lineRule="atLeast"/>
        <w:rPr>
          <w:sz w:val="20"/>
          <w:szCs w:val="20"/>
          <w:lang w:eastAsia="en-US"/>
        </w:rPr>
      </w:pPr>
    </w:p>
    <w:p w14:paraId="142E51F9" w14:textId="77777777" w:rsidR="006D75F3" w:rsidRDefault="006D75F3" w:rsidP="006D75F3">
      <w:pPr>
        <w:tabs>
          <w:tab w:val="left" w:pos="1068"/>
        </w:tabs>
        <w:spacing w:after="0" w:line="20" w:lineRule="atLeast"/>
        <w:rPr>
          <w:sz w:val="20"/>
          <w:szCs w:val="20"/>
          <w:lang w:eastAsia="en-US"/>
        </w:rPr>
      </w:pPr>
    </w:p>
    <w:p w14:paraId="609F6203" w14:textId="77777777" w:rsidR="006D75F3" w:rsidRDefault="006D75F3" w:rsidP="006D75F3">
      <w:pPr>
        <w:tabs>
          <w:tab w:val="left" w:pos="1068"/>
        </w:tabs>
        <w:spacing w:after="0" w:line="20" w:lineRule="atLeast"/>
        <w:rPr>
          <w:sz w:val="20"/>
          <w:szCs w:val="20"/>
          <w:lang w:eastAsia="en-US"/>
        </w:rPr>
      </w:pPr>
    </w:p>
    <w:p w14:paraId="13D88FF0" w14:textId="77777777" w:rsidR="006D75F3" w:rsidRDefault="006D75F3" w:rsidP="006D75F3">
      <w:pPr>
        <w:tabs>
          <w:tab w:val="left" w:pos="1068"/>
        </w:tabs>
        <w:spacing w:after="0" w:line="20" w:lineRule="atLeast"/>
        <w:rPr>
          <w:sz w:val="20"/>
          <w:szCs w:val="20"/>
          <w:lang w:eastAsia="en-US"/>
        </w:rPr>
      </w:pPr>
    </w:p>
    <w:p w14:paraId="6065A97E" w14:textId="77777777" w:rsidR="006D75F3" w:rsidRDefault="006D75F3" w:rsidP="006D75F3">
      <w:pPr>
        <w:tabs>
          <w:tab w:val="left" w:pos="1068"/>
        </w:tabs>
        <w:spacing w:after="0" w:line="20" w:lineRule="atLeast"/>
        <w:rPr>
          <w:sz w:val="20"/>
          <w:szCs w:val="20"/>
          <w:lang w:eastAsia="en-US"/>
        </w:rPr>
      </w:pPr>
    </w:p>
    <w:p w14:paraId="01E6E2FC" w14:textId="77777777" w:rsidR="006D75F3" w:rsidRDefault="006D75F3" w:rsidP="006D75F3">
      <w:pPr>
        <w:tabs>
          <w:tab w:val="left" w:pos="1068"/>
        </w:tabs>
        <w:spacing w:after="0" w:line="20" w:lineRule="atLeast"/>
        <w:rPr>
          <w:sz w:val="20"/>
          <w:szCs w:val="20"/>
          <w:lang w:eastAsia="en-US"/>
        </w:rPr>
      </w:pPr>
    </w:p>
    <w:p w14:paraId="0AD828BD" w14:textId="77777777" w:rsidR="006D75F3" w:rsidRDefault="006D75F3" w:rsidP="006D75F3">
      <w:pPr>
        <w:tabs>
          <w:tab w:val="left" w:pos="1068"/>
        </w:tabs>
        <w:spacing w:after="0" w:line="20" w:lineRule="atLeast"/>
        <w:rPr>
          <w:sz w:val="20"/>
          <w:szCs w:val="20"/>
          <w:lang w:eastAsia="en-US"/>
        </w:rPr>
      </w:pPr>
    </w:p>
    <w:p w14:paraId="0005D2EF" w14:textId="77777777" w:rsidR="006D75F3" w:rsidRDefault="006D75F3" w:rsidP="006D75F3">
      <w:pPr>
        <w:tabs>
          <w:tab w:val="left" w:pos="1068"/>
        </w:tabs>
        <w:spacing w:after="0" w:line="20" w:lineRule="atLeast"/>
        <w:rPr>
          <w:sz w:val="20"/>
          <w:szCs w:val="20"/>
          <w:lang w:eastAsia="en-US"/>
        </w:rPr>
      </w:pPr>
    </w:p>
    <w:p w14:paraId="3044F69E" w14:textId="77777777" w:rsidR="006D75F3" w:rsidRDefault="006D75F3" w:rsidP="006D75F3">
      <w:pPr>
        <w:tabs>
          <w:tab w:val="left" w:pos="1068"/>
        </w:tabs>
        <w:spacing w:after="0" w:line="20" w:lineRule="atLeast"/>
        <w:rPr>
          <w:sz w:val="20"/>
          <w:szCs w:val="20"/>
          <w:lang w:eastAsia="en-US"/>
        </w:rPr>
      </w:pPr>
    </w:p>
    <w:p w14:paraId="3C92AD8F" w14:textId="77777777" w:rsidR="006D75F3" w:rsidRDefault="006D75F3" w:rsidP="006D75F3">
      <w:pPr>
        <w:tabs>
          <w:tab w:val="left" w:pos="1068"/>
        </w:tabs>
        <w:spacing w:after="0" w:line="20" w:lineRule="atLeast"/>
        <w:rPr>
          <w:sz w:val="20"/>
          <w:szCs w:val="20"/>
          <w:lang w:eastAsia="en-US"/>
        </w:rPr>
      </w:pPr>
    </w:p>
    <w:p w14:paraId="7699133F" w14:textId="77777777" w:rsidR="006D75F3" w:rsidRDefault="006D75F3" w:rsidP="006D75F3">
      <w:pPr>
        <w:tabs>
          <w:tab w:val="left" w:pos="1068"/>
        </w:tabs>
        <w:spacing w:after="0" w:line="20" w:lineRule="atLeast"/>
        <w:rPr>
          <w:sz w:val="20"/>
          <w:szCs w:val="20"/>
          <w:lang w:eastAsia="en-US"/>
        </w:rPr>
      </w:pPr>
    </w:p>
    <w:p w14:paraId="11CA636C" w14:textId="77777777" w:rsidR="006D75F3" w:rsidRDefault="006D75F3" w:rsidP="006D75F3">
      <w:pPr>
        <w:tabs>
          <w:tab w:val="left" w:pos="1068"/>
        </w:tabs>
        <w:spacing w:after="0" w:line="20" w:lineRule="atLeast"/>
        <w:rPr>
          <w:sz w:val="20"/>
          <w:szCs w:val="20"/>
          <w:lang w:eastAsia="en-US"/>
        </w:rPr>
      </w:pPr>
    </w:p>
    <w:p w14:paraId="7D31184C" w14:textId="77777777" w:rsidR="006D75F3" w:rsidRDefault="006D75F3" w:rsidP="006D75F3">
      <w:pPr>
        <w:tabs>
          <w:tab w:val="left" w:pos="1068"/>
        </w:tabs>
        <w:spacing w:after="0" w:line="20" w:lineRule="atLeast"/>
        <w:rPr>
          <w:sz w:val="20"/>
          <w:szCs w:val="20"/>
          <w:lang w:eastAsia="en-US"/>
        </w:rPr>
      </w:pPr>
    </w:p>
    <w:p w14:paraId="0165CA1D" w14:textId="77777777" w:rsidR="006D75F3" w:rsidRDefault="006D75F3" w:rsidP="006D75F3">
      <w:pPr>
        <w:tabs>
          <w:tab w:val="left" w:pos="1068"/>
        </w:tabs>
        <w:spacing w:after="0" w:line="20" w:lineRule="atLeast"/>
        <w:rPr>
          <w:sz w:val="20"/>
          <w:szCs w:val="20"/>
          <w:lang w:eastAsia="en-US"/>
        </w:rPr>
      </w:pPr>
    </w:p>
    <w:p w14:paraId="6BF1E7D3" w14:textId="77777777" w:rsidR="006D75F3" w:rsidRDefault="006D75F3" w:rsidP="006D75F3">
      <w:pPr>
        <w:tabs>
          <w:tab w:val="left" w:pos="1068"/>
        </w:tabs>
        <w:spacing w:after="0" w:line="20" w:lineRule="atLeast"/>
        <w:rPr>
          <w:sz w:val="20"/>
          <w:szCs w:val="20"/>
          <w:lang w:eastAsia="en-US"/>
        </w:rPr>
      </w:pPr>
    </w:p>
    <w:p w14:paraId="4659E178" w14:textId="77777777" w:rsidR="006D75F3" w:rsidRDefault="006D75F3" w:rsidP="006D75F3">
      <w:pPr>
        <w:tabs>
          <w:tab w:val="left" w:pos="1068"/>
        </w:tabs>
        <w:spacing w:after="0" w:line="20" w:lineRule="atLeast"/>
        <w:rPr>
          <w:sz w:val="20"/>
          <w:szCs w:val="20"/>
          <w:lang w:eastAsia="en-US"/>
        </w:rPr>
      </w:pPr>
    </w:p>
    <w:p w14:paraId="7D9AF524" w14:textId="77777777" w:rsidR="006D75F3" w:rsidRDefault="006D75F3" w:rsidP="006D75F3">
      <w:pPr>
        <w:tabs>
          <w:tab w:val="left" w:pos="1068"/>
        </w:tabs>
        <w:spacing w:after="0" w:line="20" w:lineRule="atLeast"/>
        <w:rPr>
          <w:sz w:val="20"/>
          <w:szCs w:val="20"/>
          <w:lang w:eastAsia="en-US"/>
        </w:rPr>
      </w:pPr>
    </w:p>
    <w:p w14:paraId="7D8EC702" w14:textId="77777777" w:rsidR="006D75F3" w:rsidRDefault="006D75F3" w:rsidP="006D75F3">
      <w:pPr>
        <w:tabs>
          <w:tab w:val="left" w:pos="1068"/>
        </w:tabs>
        <w:spacing w:after="0" w:line="20" w:lineRule="atLeast"/>
        <w:rPr>
          <w:sz w:val="20"/>
          <w:szCs w:val="20"/>
          <w:lang w:eastAsia="en-US"/>
        </w:rPr>
      </w:pPr>
    </w:p>
    <w:p w14:paraId="5F88F4D3" w14:textId="77777777" w:rsidR="006D75F3" w:rsidRDefault="006D75F3" w:rsidP="006D75F3">
      <w:pPr>
        <w:tabs>
          <w:tab w:val="left" w:pos="1068"/>
        </w:tabs>
        <w:spacing w:after="0" w:line="20" w:lineRule="atLeast"/>
        <w:rPr>
          <w:sz w:val="20"/>
          <w:szCs w:val="20"/>
          <w:lang w:eastAsia="en-US"/>
        </w:rPr>
      </w:pPr>
    </w:p>
    <w:p w14:paraId="408BEAE2" w14:textId="77777777" w:rsidR="006D75F3" w:rsidRDefault="006D75F3" w:rsidP="006D75F3">
      <w:pPr>
        <w:tabs>
          <w:tab w:val="left" w:pos="1068"/>
        </w:tabs>
        <w:spacing w:after="0" w:line="20" w:lineRule="atLeast"/>
        <w:rPr>
          <w:sz w:val="20"/>
          <w:szCs w:val="20"/>
          <w:lang w:eastAsia="en-US"/>
        </w:rPr>
      </w:pPr>
    </w:p>
    <w:p w14:paraId="79690A4C" w14:textId="77777777" w:rsidR="006D75F3" w:rsidRDefault="006D75F3" w:rsidP="006D75F3">
      <w:pPr>
        <w:tabs>
          <w:tab w:val="left" w:pos="1068"/>
        </w:tabs>
        <w:spacing w:after="0" w:line="20" w:lineRule="atLeast"/>
        <w:rPr>
          <w:sz w:val="20"/>
          <w:szCs w:val="20"/>
          <w:lang w:eastAsia="en-US"/>
        </w:rPr>
      </w:pPr>
    </w:p>
    <w:p w14:paraId="67CB6BED" w14:textId="77777777" w:rsidR="006D75F3" w:rsidRDefault="006D75F3" w:rsidP="006D75F3">
      <w:pPr>
        <w:tabs>
          <w:tab w:val="left" w:pos="1068"/>
        </w:tabs>
        <w:spacing w:after="0" w:line="20" w:lineRule="atLeast"/>
        <w:rPr>
          <w:sz w:val="20"/>
          <w:szCs w:val="20"/>
          <w:lang w:eastAsia="en-US"/>
        </w:rPr>
      </w:pPr>
    </w:p>
    <w:p w14:paraId="2D0FA04C" w14:textId="77777777" w:rsidR="006D75F3" w:rsidRDefault="006D75F3" w:rsidP="006D75F3">
      <w:pPr>
        <w:tabs>
          <w:tab w:val="left" w:pos="1068"/>
        </w:tabs>
        <w:spacing w:after="0" w:line="20" w:lineRule="atLeast"/>
        <w:rPr>
          <w:sz w:val="20"/>
          <w:szCs w:val="20"/>
          <w:lang w:eastAsia="en-US"/>
        </w:rPr>
      </w:pPr>
    </w:p>
    <w:p w14:paraId="55D7D388" w14:textId="77777777" w:rsidR="006D75F3" w:rsidRDefault="006D75F3" w:rsidP="006D75F3">
      <w:pPr>
        <w:tabs>
          <w:tab w:val="left" w:pos="1068"/>
        </w:tabs>
        <w:spacing w:after="0" w:line="20" w:lineRule="atLeast"/>
        <w:rPr>
          <w:sz w:val="20"/>
          <w:szCs w:val="20"/>
          <w:lang w:eastAsia="en-US"/>
        </w:rPr>
      </w:pPr>
    </w:p>
    <w:p w14:paraId="0E0129C1" w14:textId="77777777" w:rsidR="006D75F3" w:rsidRDefault="006D75F3" w:rsidP="006D75F3">
      <w:pPr>
        <w:tabs>
          <w:tab w:val="left" w:pos="1068"/>
        </w:tabs>
        <w:spacing w:after="0" w:line="20" w:lineRule="atLeast"/>
        <w:rPr>
          <w:sz w:val="20"/>
          <w:szCs w:val="20"/>
          <w:lang w:eastAsia="en-US"/>
        </w:rPr>
      </w:pPr>
    </w:p>
    <w:p w14:paraId="17B9EA27" w14:textId="77777777" w:rsidR="006D75F3" w:rsidRDefault="006D75F3" w:rsidP="006D75F3">
      <w:pPr>
        <w:tabs>
          <w:tab w:val="left" w:pos="1068"/>
        </w:tabs>
        <w:spacing w:after="0" w:line="20" w:lineRule="atLeast"/>
        <w:rPr>
          <w:sz w:val="20"/>
          <w:szCs w:val="20"/>
          <w:lang w:eastAsia="en-US"/>
        </w:rPr>
      </w:pPr>
    </w:p>
    <w:p w14:paraId="2A3904E0" w14:textId="77777777" w:rsidR="006D75F3" w:rsidRDefault="006D75F3" w:rsidP="006D75F3">
      <w:pPr>
        <w:tabs>
          <w:tab w:val="left" w:pos="1068"/>
        </w:tabs>
        <w:spacing w:after="0" w:line="20" w:lineRule="atLeast"/>
        <w:rPr>
          <w:sz w:val="20"/>
          <w:szCs w:val="20"/>
          <w:lang w:eastAsia="en-US"/>
        </w:rPr>
      </w:pPr>
    </w:p>
    <w:p w14:paraId="14F7476C" w14:textId="77777777" w:rsidR="006D75F3" w:rsidRDefault="006D75F3" w:rsidP="006D75F3">
      <w:pPr>
        <w:tabs>
          <w:tab w:val="left" w:pos="1068"/>
        </w:tabs>
        <w:spacing w:after="0" w:line="20" w:lineRule="atLeast"/>
        <w:rPr>
          <w:sz w:val="20"/>
          <w:szCs w:val="20"/>
          <w:lang w:eastAsia="en-US"/>
        </w:rPr>
      </w:pPr>
    </w:p>
    <w:p w14:paraId="3BB5BCF2" w14:textId="77777777" w:rsidR="006D75F3" w:rsidRDefault="006D75F3" w:rsidP="006D75F3">
      <w:pPr>
        <w:tabs>
          <w:tab w:val="left" w:pos="1068"/>
        </w:tabs>
        <w:spacing w:after="0" w:line="20" w:lineRule="atLeast"/>
        <w:rPr>
          <w:sz w:val="20"/>
          <w:szCs w:val="20"/>
          <w:lang w:eastAsia="en-US"/>
        </w:rPr>
      </w:pPr>
    </w:p>
    <w:p w14:paraId="184A5D19" w14:textId="77777777" w:rsidR="006D75F3" w:rsidRDefault="006D75F3" w:rsidP="006D75F3">
      <w:pPr>
        <w:tabs>
          <w:tab w:val="left" w:pos="1068"/>
        </w:tabs>
        <w:spacing w:after="0" w:line="20" w:lineRule="atLeast"/>
        <w:rPr>
          <w:sz w:val="20"/>
          <w:szCs w:val="20"/>
          <w:lang w:eastAsia="en-US"/>
        </w:rPr>
      </w:pPr>
    </w:p>
    <w:p w14:paraId="3E94DD4B" w14:textId="77777777" w:rsidR="006D75F3" w:rsidRDefault="006D75F3" w:rsidP="006D75F3">
      <w:pPr>
        <w:tabs>
          <w:tab w:val="left" w:pos="1068"/>
        </w:tabs>
        <w:spacing w:after="0" w:line="20" w:lineRule="atLeast"/>
        <w:rPr>
          <w:sz w:val="20"/>
          <w:szCs w:val="20"/>
          <w:lang w:eastAsia="en-US"/>
        </w:rPr>
      </w:pPr>
    </w:p>
    <w:p w14:paraId="70EF1890" w14:textId="77777777" w:rsidR="006D75F3" w:rsidRDefault="006D75F3" w:rsidP="006D75F3">
      <w:pPr>
        <w:tabs>
          <w:tab w:val="left" w:pos="1068"/>
        </w:tabs>
        <w:spacing w:after="0" w:line="20" w:lineRule="atLeast"/>
        <w:rPr>
          <w:sz w:val="20"/>
          <w:szCs w:val="20"/>
          <w:lang w:eastAsia="en-US"/>
        </w:rPr>
      </w:pPr>
    </w:p>
    <w:p w14:paraId="2D48E1AC" w14:textId="77777777" w:rsidR="006D75F3" w:rsidRDefault="006D75F3" w:rsidP="006D75F3">
      <w:pPr>
        <w:tabs>
          <w:tab w:val="left" w:pos="1068"/>
        </w:tabs>
        <w:spacing w:after="0" w:line="20" w:lineRule="atLeast"/>
        <w:rPr>
          <w:sz w:val="20"/>
          <w:szCs w:val="20"/>
          <w:lang w:eastAsia="en-US"/>
        </w:rPr>
      </w:pPr>
    </w:p>
    <w:p w14:paraId="6D73BF20" w14:textId="77777777" w:rsidR="006D75F3" w:rsidRDefault="006D75F3" w:rsidP="006D75F3">
      <w:pPr>
        <w:tabs>
          <w:tab w:val="left" w:pos="1068"/>
        </w:tabs>
        <w:spacing w:after="0" w:line="20" w:lineRule="atLeast"/>
        <w:rPr>
          <w:sz w:val="20"/>
          <w:szCs w:val="20"/>
          <w:lang w:eastAsia="en-US"/>
        </w:rPr>
      </w:pPr>
    </w:p>
    <w:p w14:paraId="78D1B662" w14:textId="77777777" w:rsidR="006D75F3" w:rsidRDefault="006D75F3" w:rsidP="006D75F3">
      <w:pPr>
        <w:tabs>
          <w:tab w:val="left" w:pos="1068"/>
        </w:tabs>
        <w:spacing w:after="0" w:line="20" w:lineRule="atLeast"/>
        <w:rPr>
          <w:sz w:val="20"/>
          <w:szCs w:val="20"/>
          <w:lang w:eastAsia="en-US"/>
        </w:rPr>
      </w:pPr>
    </w:p>
    <w:p w14:paraId="0A7C46B0" w14:textId="77777777" w:rsidR="006D75F3" w:rsidRDefault="006D75F3" w:rsidP="006D75F3">
      <w:pPr>
        <w:tabs>
          <w:tab w:val="left" w:pos="1068"/>
        </w:tabs>
        <w:spacing w:after="0" w:line="20" w:lineRule="atLeast"/>
        <w:rPr>
          <w:sz w:val="20"/>
          <w:szCs w:val="20"/>
          <w:lang w:eastAsia="en-US"/>
        </w:rPr>
      </w:pPr>
    </w:p>
    <w:p w14:paraId="79B23911" w14:textId="77777777" w:rsidR="006D75F3" w:rsidRDefault="006D75F3" w:rsidP="006D75F3">
      <w:pPr>
        <w:tabs>
          <w:tab w:val="left" w:pos="1068"/>
        </w:tabs>
        <w:spacing w:after="0" w:line="20" w:lineRule="atLeast"/>
        <w:rPr>
          <w:sz w:val="20"/>
          <w:szCs w:val="20"/>
          <w:lang w:eastAsia="en-US"/>
        </w:rPr>
      </w:pPr>
    </w:p>
    <w:p w14:paraId="63E9764D" w14:textId="77777777" w:rsidR="006D75F3" w:rsidRDefault="006D75F3" w:rsidP="006D75F3">
      <w:pPr>
        <w:tabs>
          <w:tab w:val="left" w:pos="1068"/>
        </w:tabs>
        <w:spacing w:after="0" w:line="20" w:lineRule="atLeast"/>
        <w:rPr>
          <w:sz w:val="20"/>
          <w:szCs w:val="20"/>
          <w:lang w:eastAsia="en-US"/>
        </w:rPr>
      </w:pPr>
    </w:p>
    <w:p w14:paraId="6B7BAAD8" w14:textId="77777777" w:rsidR="006D75F3" w:rsidRDefault="006D75F3" w:rsidP="006D75F3">
      <w:pPr>
        <w:tabs>
          <w:tab w:val="left" w:pos="1068"/>
        </w:tabs>
        <w:spacing w:after="0" w:line="20" w:lineRule="atLeast"/>
        <w:rPr>
          <w:sz w:val="20"/>
          <w:szCs w:val="20"/>
          <w:lang w:eastAsia="en-US"/>
        </w:rPr>
      </w:pPr>
    </w:p>
    <w:p w14:paraId="389E4CCB" w14:textId="77777777" w:rsidR="006D75F3" w:rsidRDefault="006D75F3" w:rsidP="006D75F3">
      <w:pPr>
        <w:tabs>
          <w:tab w:val="left" w:pos="1068"/>
        </w:tabs>
        <w:spacing w:after="0" w:line="20" w:lineRule="atLeast"/>
        <w:rPr>
          <w:sz w:val="20"/>
          <w:szCs w:val="20"/>
          <w:lang w:eastAsia="en-US"/>
        </w:rPr>
      </w:pPr>
    </w:p>
    <w:p w14:paraId="6AD2D36F" w14:textId="77777777" w:rsidR="006D75F3" w:rsidRDefault="006D75F3" w:rsidP="006D75F3">
      <w:pPr>
        <w:tabs>
          <w:tab w:val="left" w:pos="1068"/>
        </w:tabs>
        <w:spacing w:after="0" w:line="20" w:lineRule="atLeast"/>
        <w:rPr>
          <w:sz w:val="20"/>
          <w:szCs w:val="20"/>
          <w:lang w:eastAsia="en-US"/>
        </w:rPr>
      </w:pPr>
    </w:p>
    <w:p w14:paraId="4BDB21D3" w14:textId="77777777" w:rsidR="006D75F3" w:rsidRPr="006D75F3" w:rsidRDefault="006D75F3" w:rsidP="006D75F3">
      <w:pPr>
        <w:tabs>
          <w:tab w:val="left" w:pos="1068"/>
        </w:tabs>
        <w:spacing w:after="0" w:line="20" w:lineRule="atLeast"/>
        <w:rPr>
          <w:sz w:val="20"/>
          <w:szCs w:val="20"/>
          <w:lang w:eastAsia="en-US"/>
        </w:rPr>
      </w:pPr>
    </w:p>
    <w:p w14:paraId="659E1922" w14:textId="30AD884D" w:rsidR="006D75F3" w:rsidRPr="006D75F3" w:rsidRDefault="006D75F3" w:rsidP="006D75F3">
      <w:pPr>
        <w:tabs>
          <w:tab w:val="left" w:pos="1068"/>
        </w:tabs>
        <w:spacing w:after="0" w:line="20" w:lineRule="atLeast"/>
        <w:jc w:val="center"/>
        <w:rPr>
          <w:b/>
          <w:bCs/>
          <w:sz w:val="20"/>
          <w:szCs w:val="20"/>
          <w:lang w:eastAsia="en-US"/>
        </w:rPr>
      </w:pPr>
      <w:r w:rsidRPr="006D75F3">
        <w:rPr>
          <w:b/>
          <w:bCs/>
          <w:sz w:val="20"/>
          <w:szCs w:val="20"/>
          <w:lang w:eastAsia="en-US"/>
        </w:rPr>
        <w:lastRenderedPageBreak/>
        <w:t>SCHEDULE 3</w:t>
      </w:r>
    </w:p>
    <w:p w14:paraId="163E81FD" w14:textId="1CF45CF0" w:rsidR="006D75F3" w:rsidRPr="006D75F3" w:rsidRDefault="006D75F3" w:rsidP="006D75F3">
      <w:pPr>
        <w:tabs>
          <w:tab w:val="left" w:pos="1068"/>
        </w:tabs>
        <w:spacing w:after="0" w:line="20" w:lineRule="atLeast"/>
        <w:jc w:val="center"/>
        <w:rPr>
          <w:b/>
          <w:bCs/>
          <w:sz w:val="20"/>
          <w:szCs w:val="20"/>
          <w:lang w:eastAsia="en-US"/>
        </w:rPr>
      </w:pPr>
      <w:r w:rsidRPr="006D75F3">
        <w:rPr>
          <w:b/>
          <w:bCs/>
          <w:sz w:val="20"/>
          <w:szCs w:val="20"/>
          <w:lang w:eastAsia="en-US"/>
        </w:rPr>
        <w:t>DELETION PROCEDURE</w:t>
      </w:r>
    </w:p>
    <w:p w14:paraId="4B461F0E" w14:textId="77777777" w:rsidR="006D75F3" w:rsidRDefault="006D75F3" w:rsidP="006D75F3">
      <w:pPr>
        <w:tabs>
          <w:tab w:val="left" w:pos="1068"/>
        </w:tabs>
        <w:spacing w:after="0" w:line="20" w:lineRule="atLeast"/>
        <w:rPr>
          <w:sz w:val="20"/>
          <w:szCs w:val="20"/>
          <w:lang w:eastAsia="en-US"/>
        </w:rPr>
      </w:pPr>
    </w:p>
    <w:p w14:paraId="44432729" w14:textId="73F84365" w:rsidR="006D75F3" w:rsidRPr="006D75F3" w:rsidRDefault="006D75F3" w:rsidP="006D75F3">
      <w:pPr>
        <w:tabs>
          <w:tab w:val="left" w:pos="1068"/>
        </w:tabs>
        <w:spacing w:after="0" w:line="20" w:lineRule="atLeast"/>
        <w:rPr>
          <w:sz w:val="20"/>
          <w:szCs w:val="20"/>
          <w:lang w:eastAsia="en-US"/>
        </w:rPr>
      </w:pPr>
      <w:r w:rsidRPr="0018528C">
        <w:rPr>
          <w:sz w:val="20"/>
          <w:szCs w:val="20"/>
          <w:lang w:eastAsia="en-US"/>
        </w:rPr>
        <w:t>[ADD]</w:t>
      </w:r>
    </w:p>
    <w:p w14:paraId="6B9F3270" w14:textId="77777777" w:rsidR="006D75F3" w:rsidRDefault="006D75F3" w:rsidP="006D75F3">
      <w:pPr>
        <w:spacing w:after="0" w:line="20" w:lineRule="atLeast"/>
        <w:rPr>
          <w:rFonts w:eastAsia="Arial Unicode MS"/>
          <w:b/>
          <w:sz w:val="20"/>
          <w:szCs w:val="20"/>
          <w:lang w:eastAsia="en-US"/>
        </w:rPr>
      </w:pPr>
    </w:p>
    <w:p w14:paraId="4F24CB1D" w14:textId="77777777" w:rsidR="006D75F3" w:rsidRDefault="006D75F3" w:rsidP="006D75F3">
      <w:pPr>
        <w:spacing w:after="0" w:line="20" w:lineRule="atLeast"/>
        <w:rPr>
          <w:rFonts w:eastAsia="Arial Unicode MS"/>
          <w:b/>
          <w:sz w:val="20"/>
          <w:szCs w:val="20"/>
          <w:lang w:eastAsia="en-US"/>
        </w:rPr>
      </w:pPr>
    </w:p>
    <w:p w14:paraId="3EDC74D1" w14:textId="77777777" w:rsidR="006D75F3" w:rsidRDefault="006D75F3" w:rsidP="006D75F3">
      <w:pPr>
        <w:spacing w:after="0" w:line="20" w:lineRule="atLeast"/>
        <w:rPr>
          <w:rFonts w:eastAsia="Arial Unicode MS"/>
          <w:b/>
          <w:sz w:val="20"/>
          <w:szCs w:val="20"/>
          <w:lang w:eastAsia="en-US"/>
        </w:rPr>
      </w:pPr>
    </w:p>
    <w:p w14:paraId="314A4444" w14:textId="77777777" w:rsidR="006D75F3" w:rsidRDefault="006D75F3" w:rsidP="006D75F3">
      <w:pPr>
        <w:spacing w:after="0" w:line="20" w:lineRule="atLeast"/>
        <w:rPr>
          <w:rFonts w:eastAsia="Arial Unicode MS"/>
          <w:b/>
          <w:sz w:val="20"/>
          <w:szCs w:val="20"/>
          <w:lang w:eastAsia="en-US"/>
        </w:rPr>
      </w:pPr>
    </w:p>
    <w:p w14:paraId="1D88F9D3" w14:textId="77777777" w:rsidR="006D75F3" w:rsidRDefault="006D75F3" w:rsidP="006D75F3">
      <w:pPr>
        <w:spacing w:after="0" w:line="20" w:lineRule="atLeast"/>
        <w:rPr>
          <w:rFonts w:eastAsia="Arial Unicode MS"/>
          <w:b/>
          <w:sz w:val="20"/>
          <w:szCs w:val="20"/>
          <w:lang w:eastAsia="en-US"/>
        </w:rPr>
      </w:pPr>
    </w:p>
    <w:p w14:paraId="2530F4BE" w14:textId="77777777" w:rsidR="006D75F3" w:rsidRDefault="006D75F3" w:rsidP="006D75F3">
      <w:pPr>
        <w:spacing w:after="0" w:line="20" w:lineRule="atLeast"/>
        <w:rPr>
          <w:rFonts w:eastAsia="Arial Unicode MS"/>
          <w:b/>
          <w:sz w:val="20"/>
          <w:szCs w:val="20"/>
          <w:lang w:eastAsia="en-US"/>
        </w:rPr>
      </w:pPr>
    </w:p>
    <w:p w14:paraId="79672DB6" w14:textId="77777777" w:rsidR="006D75F3" w:rsidRDefault="006D75F3" w:rsidP="006D75F3">
      <w:pPr>
        <w:spacing w:after="0" w:line="20" w:lineRule="atLeast"/>
        <w:rPr>
          <w:rFonts w:eastAsia="Arial Unicode MS"/>
          <w:b/>
          <w:sz w:val="20"/>
          <w:szCs w:val="20"/>
          <w:lang w:eastAsia="en-US"/>
        </w:rPr>
      </w:pPr>
    </w:p>
    <w:p w14:paraId="040C41F5" w14:textId="77777777" w:rsidR="006D75F3" w:rsidRDefault="006D75F3" w:rsidP="006D75F3">
      <w:pPr>
        <w:spacing w:after="0" w:line="20" w:lineRule="atLeast"/>
        <w:rPr>
          <w:rFonts w:eastAsia="Arial Unicode MS"/>
          <w:b/>
          <w:sz w:val="20"/>
          <w:szCs w:val="20"/>
          <w:lang w:eastAsia="en-US"/>
        </w:rPr>
      </w:pPr>
    </w:p>
    <w:p w14:paraId="09C6F2BB" w14:textId="77777777" w:rsidR="006D75F3" w:rsidRDefault="006D75F3" w:rsidP="006D75F3">
      <w:pPr>
        <w:spacing w:after="0" w:line="20" w:lineRule="atLeast"/>
        <w:rPr>
          <w:rFonts w:eastAsia="Arial Unicode MS"/>
          <w:b/>
          <w:sz w:val="20"/>
          <w:szCs w:val="20"/>
          <w:lang w:eastAsia="en-US"/>
        </w:rPr>
      </w:pPr>
    </w:p>
    <w:p w14:paraId="20DF9D72" w14:textId="77777777" w:rsidR="006D75F3" w:rsidRDefault="006D75F3" w:rsidP="006D75F3">
      <w:pPr>
        <w:spacing w:after="0" w:line="20" w:lineRule="atLeast"/>
        <w:rPr>
          <w:rFonts w:eastAsia="Arial Unicode MS"/>
          <w:b/>
          <w:sz w:val="20"/>
          <w:szCs w:val="20"/>
          <w:lang w:eastAsia="en-US"/>
        </w:rPr>
      </w:pPr>
    </w:p>
    <w:p w14:paraId="6F255035" w14:textId="77777777" w:rsidR="006D75F3" w:rsidRDefault="006D75F3" w:rsidP="006D75F3">
      <w:pPr>
        <w:spacing w:after="0" w:line="20" w:lineRule="atLeast"/>
        <w:rPr>
          <w:rFonts w:eastAsia="Arial Unicode MS"/>
          <w:b/>
          <w:sz w:val="20"/>
          <w:szCs w:val="20"/>
          <w:lang w:eastAsia="en-US"/>
        </w:rPr>
      </w:pPr>
    </w:p>
    <w:p w14:paraId="0A693EE2" w14:textId="77777777" w:rsidR="006D75F3" w:rsidRDefault="006D75F3" w:rsidP="006D75F3">
      <w:pPr>
        <w:spacing w:after="0" w:line="20" w:lineRule="atLeast"/>
        <w:rPr>
          <w:rFonts w:eastAsia="Arial Unicode MS"/>
          <w:b/>
          <w:sz w:val="20"/>
          <w:szCs w:val="20"/>
          <w:lang w:eastAsia="en-US"/>
        </w:rPr>
      </w:pPr>
    </w:p>
    <w:p w14:paraId="05CA7CA4" w14:textId="77777777" w:rsidR="006D75F3" w:rsidRDefault="006D75F3" w:rsidP="006D75F3">
      <w:pPr>
        <w:spacing w:after="0" w:line="20" w:lineRule="atLeast"/>
        <w:rPr>
          <w:rFonts w:eastAsia="Arial Unicode MS"/>
          <w:b/>
          <w:sz w:val="20"/>
          <w:szCs w:val="20"/>
          <w:lang w:eastAsia="en-US"/>
        </w:rPr>
      </w:pPr>
    </w:p>
    <w:p w14:paraId="0C9A150A" w14:textId="77777777" w:rsidR="006D75F3" w:rsidRDefault="006D75F3" w:rsidP="006D75F3">
      <w:pPr>
        <w:spacing w:after="0" w:line="20" w:lineRule="atLeast"/>
        <w:rPr>
          <w:rFonts w:eastAsia="Arial Unicode MS"/>
          <w:b/>
          <w:sz w:val="20"/>
          <w:szCs w:val="20"/>
          <w:lang w:eastAsia="en-US"/>
        </w:rPr>
      </w:pPr>
    </w:p>
    <w:p w14:paraId="5F7D22DB" w14:textId="77777777" w:rsidR="006D75F3" w:rsidRDefault="006D75F3" w:rsidP="006D75F3">
      <w:pPr>
        <w:spacing w:after="0" w:line="20" w:lineRule="atLeast"/>
        <w:rPr>
          <w:rFonts w:eastAsia="Arial Unicode MS"/>
          <w:b/>
          <w:sz w:val="20"/>
          <w:szCs w:val="20"/>
          <w:lang w:eastAsia="en-US"/>
        </w:rPr>
      </w:pPr>
    </w:p>
    <w:p w14:paraId="7CF5DA23" w14:textId="77777777" w:rsidR="006D75F3" w:rsidRDefault="006D75F3" w:rsidP="006D75F3">
      <w:pPr>
        <w:spacing w:after="0" w:line="20" w:lineRule="atLeast"/>
        <w:rPr>
          <w:rFonts w:eastAsia="Arial Unicode MS"/>
          <w:b/>
          <w:sz w:val="20"/>
          <w:szCs w:val="20"/>
          <w:lang w:eastAsia="en-US"/>
        </w:rPr>
      </w:pPr>
    </w:p>
    <w:p w14:paraId="676CA23E" w14:textId="77777777" w:rsidR="006D75F3" w:rsidRDefault="006D75F3" w:rsidP="006D75F3">
      <w:pPr>
        <w:spacing w:after="0" w:line="20" w:lineRule="atLeast"/>
        <w:rPr>
          <w:rFonts w:eastAsia="Arial Unicode MS"/>
          <w:b/>
          <w:sz w:val="20"/>
          <w:szCs w:val="20"/>
          <w:lang w:eastAsia="en-US"/>
        </w:rPr>
      </w:pPr>
    </w:p>
    <w:p w14:paraId="034BB17A" w14:textId="77777777" w:rsidR="006D75F3" w:rsidRDefault="006D75F3" w:rsidP="006D75F3">
      <w:pPr>
        <w:spacing w:after="0" w:line="20" w:lineRule="atLeast"/>
        <w:rPr>
          <w:rFonts w:eastAsia="Arial Unicode MS"/>
          <w:b/>
          <w:sz w:val="20"/>
          <w:szCs w:val="20"/>
          <w:lang w:eastAsia="en-US"/>
        </w:rPr>
      </w:pPr>
    </w:p>
    <w:p w14:paraId="14371DE4" w14:textId="77777777" w:rsidR="006D75F3" w:rsidRDefault="006D75F3" w:rsidP="006D75F3">
      <w:pPr>
        <w:spacing w:after="0" w:line="20" w:lineRule="atLeast"/>
        <w:rPr>
          <w:rFonts w:eastAsia="Arial Unicode MS"/>
          <w:b/>
          <w:sz w:val="20"/>
          <w:szCs w:val="20"/>
          <w:lang w:eastAsia="en-US"/>
        </w:rPr>
      </w:pPr>
    </w:p>
    <w:p w14:paraId="265C4786" w14:textId="77777777" w:rsidR="006D75F3" w:rsidRDefault="006D75F3" w:rsidP="006D75F3">
      <w:pPr>
        <w:spacing w:after="0" w:line="20" w:lineRule="atLeast"/>
        <w:rPr>
          <w:rFonts w:eastAsia="Arial Unicode MS"/>
          <w:b/>
          <w:sz w:val="20"/>
          <w:szCs w:val="20"/>
          <w:lang w:eastAsia="en-US"/>
        </w:rPr>
      </w:pPr>
    </w:p>
    <w:p w14:paraId="0BC8046D" w14:textId="77777777" w:rsidR="006D75F3" w:rsidRDefault="006D75F3" w:rsidP="006D75F3">
      <w:pPr>
        <w:spacing w:after="0" w:line="20" w:lineRule="atLeast"/>
        <w:rPr>
          <w:rFonts w:eastAsia="Arial Unicode MS"/>
          <w:b/>
          <w:sz w:val="20"/>
          <w:szCs w:val="20"/>
          <w:lang w:eastAsia="en-US"/>
        </w:rPr>
      </w:pPr>
    </w:p>
    <w:p w14:paraId="2BF6A7CF" w14:textId="77777777" w:rsidR="006D75F3" w:rsidRDefault="006D75F3" w:rsidP="006D75F3">
      <w:pPr>
        <w:spacing w:after="0" w:line="20" w:lineRule="atLeast"/>
        <w:rPr>
          <w:rFonts w:eastAsia="Arial Unicode MS"/>
          <w:b/>
          <w:sz w:val="20"/>
          <w:szCs w:val="20"/>
          <w:lang w:eastAsia="en-US"/>
        </w:rPr>
      </w:pPr>
    </w:p>
    <w:p w14:paraId="2F86076D" w14:textId="77777777" w:rsidR="006D75F3" w:rsidRDefault="006D75F3" w:rsidP="006D75F3">
      <w:pPr>
        <w:spacing w:after="0" w:line="20" w:lineRule="atLeast"/>
        <w:rPr>
          <w:rFonts w:eastAsia="Arial Unicode MS"/>
          <w:b/>
          <w:sz w:val="20"/>
          <w:szCs w:val="20"/>
          <w:lang w:eastAsia="en-US"/>
        </w:rPr>
      </w:pPr>
    </w:p>
    <w:p w14:paraId="41F37C15" w14:textId="77777777" w:rsidR="006D75F3" w:rsidRDefault="006D75F3" w:rsidP="006D75F3">
      <w:pPr>
        <w:spacing w:after="0" w:line="20" w:lineRule="atLeast"/>
        <w:rPr>
          <w:rFonts w:eastAsia="Arial Unicode MS"/>
          <w:b/>
          <w:sz w:val="20"/>
          <w:szCs w:val="20"/>
          <w:lang w:eastAsia="en-US"/>
        </w:rPr>
      </w:pPr>
    </w:p>
    <w:p w14:paraId="5C5BC4F7" w14:textId="77777777" w:rsidR="006D75F3" w:rsidRDefault="006D75F3" w:rsidP="006D75F3">
      <w:pPr>
        <w:spacing w:after="0" w:line="20" w:lineRule="atLeast"/>
        <w:rPr>
          <w:rFonts w:eastAsia="Arial Unicode MS"/>
          <w:b/>
          <w:sz w:val="20"/>
          <w:szCs w:val="20"/>
          <w:lang w:eastAsia="en-US"/>
        </w:rPr>
      </w:pPr>
    </w:p>
    <w:p w14:paraId="65B75E37" w14:textId="77777777" w:rsidR="006D75F3" w:rsidRDefault="006D75F3" w:rsidP="006D75F3">
      <w:pPr>
        <w:spacing w:after="0" w:line="20" w:lineRule="atLeast"/>
        <w:rPr>
          <w:rFonts w:eastAsia="Arial Unicode MS"/>
          <w:b/>
          <w:sz w:val="20"/>
          <w:szCs w:val="20"/>
          <w:lang w:eastAsia="en-US"/>
        </w:rPr>
      </w:pPr>
    </w:p>
    <w:p w14:paraId="7392C7F7" w14:textId="77777777" w:rsidR="006D75F3" w:rsidRDefault="006D75F3" w:rsidP="006D75F3">
      <w:pPr>
        <w:spacing w:after="0" w:line="20" w:lineRule="atLeast"/>
        <w:rPr>
          <w:rFonts w:eastAsia="Arial Unicode MS"/>
          <w:b/>
          <w:sz w:val="20"/>
          <w:szCs w:val="20"/>
          <w:lang w:eastAsia="en-US"/>
        </w:rPr>
      </w:pPr>
    </w:p>
    <w:p w14:paraId="7C252215" w14:textId="77777777" w:rsidR="006D75F3" w:rsidRDefault="006D75F3" w:rsidP="006D75F3">
      <w:pPr>
        <w:spacing w:after="0" w:line="20" w:lineRule="atLeast"/>
        <w:rPr>
          <w:rFonts w:eastAsia="Arial Unicode MS"/>
          <w:b/>
          <w:sz w:val="20"/>
          <w:szCs w:val="20"/>
          <w:lang w:eastAsia="en-US"/>
        </w:rPr>
      </w:pPr>
    </w:p>
    <w:p w14:paraId="17E67366" w14:textId="77777777" w:rsidR="006D75F3" w:rsidRDefault="006D75F3" w:rsidP="006D75F3">
      <w:pPr>
        <w:spacing w:after="0" w:line="20" w:lineRule="atLeast"/>
        <w:rPr>
          <w:rFonts w:eastAsia="Arial Unicode MS"/>
          <w:b/>
          <w:sz w:val="20"/>
          <w:szCs w:val="20"/>
          <w:lang w:eastAsia="en-US"/>
        </w:rPr>
      </w:pPr>
    </w:p>
    <w:p w14:paraId="53A9FA9D" w14:textId="77777777" w:rsidR="006D75F3" w:rsidRDefault="006D75F3" w:rsidP="006D75F3">
      <w:pPr>
        <w:spacing w:after="0" w:line="20" w:lineRule="atLeast"/>
        <w:rPr>
          <w:rFonts w:eastAsia="Arial Unicode MS"/>
          <w:b/>
          <w:sz w:val="20"/>
          <w:szCs w:val="20"/>
          <w:lang w:eastAsia="en-US"/>
        </w:rPr>
      </w:pPr>
    </w:p>
    <w:p w14:paraId="14EE278C" w14:textId="77777777" w:rsidR="006D75F3" w:rsidRDefault="006D75F3" w:rsidP="006D75F3">
      <w:pPr>
        <w:spacing w:after="0" w:line="20" w:lineRule="atLeast"/>
        <w:rPr>
          <w:rFonts w:eastAsia="Arial Unicode MS"/>
          <w:b/>
          <w:sz w:val="20"/>
          <w:szCs w:val="20"/>
          <w:lang w:eastAsia="en-US"/>
        </w:rPr>
      </w:pPr>
    </w:p>
    <w:p w14:paraId="500014C7" w14:textId="77777777" w:rsidR="006D75F3" w:rsidRDefault="006D75F3" w:rsidP="006D75F3">
      <w:pPr>
        <w:spacing w:after="0" w:line="20" w:lineRule="atLeast"/>
        <w:rPr>
          <w:rFonts w:eastAsia="Arial Unicode MS"/>
          <w:b/>
          <w:sz w:val="20"/>
          <w:szCs w:val="20"/>
          <w:lang w:eastAsia="en-US"/>
        </w:rPr>
      </w:pPr>
    </w:p>
    <w:p w14:paraId="19FF5940" w14:textId="77777777" w:rsidR="006D75F3" w:rsidRDefault="006D75F3" w:rsidP="006D75F3">
      <w:pPr>
        <w:spacing w:after="0" w:line="20" w:lineRule="atLeast"/>
        <w:rPr>
          <w:rFonts w:eastAsia="Arial Unicode MS"/>
          <w:b/>
          <w:sz w:val="20"/>
          <w:szCs w:val="20"/>
          <w:lang w:eastAsia="en-US"/>
        </w:rPr>
      </w:pPr>
    </w:p>
    <w:p w14:paraId="18695D7C" w14:textId="77777777" w:rsidR="006D75F3" w:rsidRDefault="006D75F3" w:rsidP="006D75F3">
      <w:pPr>
        <w:spacing w:after="0" w:line="20" w:lineRule="atLeast"/>
        <w:rPr>
          <w:rFonts w:eastAsia="Arial Unicode MS"/>
          <w:b/>
          <w:sz w:val="20"/>
          <w:szCs w:val="20"/>
          <w:lang w:eastAsia="en-US"/>
        </w:rPr>
      </w:pPr>
    </w:p>
    <w:p w14:paraId="720F8DA9" w14:textId="77777777" w:rsidR="006D75F3" w:rsidRDefault="006D75F3" w:rsidP="006D75F3">
      <w:pPr>
        <w:spacing w:after="0" w:line="20" w:lineRule="atLeast"/>
        <w:rPr>
          <w:rFonts w:eastAsia="Arial Unicode MS"/>
          <w:b/>
          <w:sz w:val="20"/>
          <w:szCs w:val="20"/>
          <w:lang w:eastAsia="en-US"/>
        </w:rPr>
      </w:pPr>
    </w:p>
    <w:p w14:paraId="60720C36" w14:textId="77777777" w:rsidR="006D75F3" w:rsidRDefault="006D75F3" w:rsidP="006D75F3">
      <w:pPr>
        <w:spacing w:after="0" w:line="20" w:lineRule="atLeast"/>
        <w:rPr>
          <w:rFonts w:eastAsia="Arial Unicode MS"/>
          <w:b/>
          <w:sz w:val="20"/>
          <w:szCs w:val="20"/>
          <w:lang w:eastAsia="en-US"/>
        </w:rPr>
      </w:pPr>
    </w:p>
    <w:p w14:paraId="725C7FD5" w14:textId="77777777" w:rsidR="006D75F3" w:rsidRDefault="006D75F3" w:rsidP="006D75F3">
      <w:pPr>
        <w:spacing w:after="0" w:line="20" w:lineRule="atLeast"/>
        <w:rPr>
          <w:rFonts w:eastAsia="Arial Unicode MS"/>
          <w:b/>
          <w:sz w:val="20"/>
          <w:szCs w:val="20"/>
          <w:lang w:eastAsia="en-US"/>
        </w:rPr>
      </w:pPr>
    </w:p>
    <w:p w14:paraId="76F08788" w14:textId="77777777" w:rsidR="006D75F3" w:rsidRDefault="006D75F3" w:rsidP="006D75F3">
      <w:pPr>
        <w:spacing w:after="0" w:line="20" w:lineRule="atLeast"/>
        <w:rPr>
          <w:rFonts w:eastAsia="Arial Unicode MS"/>
          <w:b/>
          <w:sz w:val="20"/>
          <w:szCs w:val="20"/>
          <w:lang w:eastAsia="en-US"/>
        </w:rPr>
      </w:pPr>
    </w:p>
    <w:p w14:paraId="179D2C1D" w14:textId="77777777" w:rsidR="006D75F3" w:rsidRDefault="006D75F3" w:rsidP="006D75F3">
      <w:pPr>
        <w:spacing w:after="0" w:line="20" w:lineRule="atLeast"/>
        <w:rPr>
          <w:rFonts w:eastAsia="Arial Unicode MS"/>
          <w:b/>
          <w:sz w:val="20"/>
          <w:szCs w:val="20"/>
          <w:lang w:eastAsia="en-US"/>
        </w:rPr>
      </w:pPr>
    </w:p>
    <w:p w14:paraId="5FA24FFE" w14:textId="77777777" w:rsidR="006D75F3" w:rsidRDefault="006D75F3" w:rsidP="006D75F3">
      <w:pPr>
        <w:spacing w:after="0" w:line="20" w:lineRule="atLeast"/>
        <w:rPr>
          <w:rFonts w:eastAsia="Arial Unicode MS"/>
          <w:b/>
          <w:sz w:val="20"/>
          <w:szCs w:val="20"/>
          <w:lang w:eastAsia="en-US"/>
        </w:rPr>
      </w:pPr>
    </w:p>
    <w:p w14:paraId="6AEEE696" w14:textId="77777777" w:rsidR="006D75F3" w:rsidRDefault="006D75F3" w:rsidP="006D75F3">
      <w:pPr>
        <w:spacing w:after="0" w:line="20" w:lineRule="atLeast"/>
        <w:rPr>
          <w:rFonts w:eastAsia="Arial Unicode MS"/>
          <w:b/>
          <w:sz w:val="20"/>
          <w:szCs w:val="20"/>
          <w:lang w:eastAsia="en-US"/>
        </w:rPr>
      </w:pPr>
    </w:p>
    <w:p w14:paraId="2A1FEB11" w14:textId="77777777" w:rsidR="006D75F3" w:rsidRDefault="006D75F3" w:rsidP="006D75F3">
      <w:pPr>
        <w:spacing w:after="0" w:line="20" w:lineRule="atLeast"/>
        <w:rPr>
          <w:rFonts w:eastAsia="Arial Unicode MS"/>
          <w:b/>
          <w:sz w:val="20"/>
          <w:szCs w:val="20"/>
          <w:lang w:eastAsia="en-US"/>
        </w:rPr>
      </w:pPr>
    </w:p>
    <w:p w14:paraId="318E99AB" w14:textId="77777777" w:rsidR="006D75F3" w:rsidRDefault="006D75F3" w:rsidP="006D75F3">
      <w:pPr>
        <w:spacing w:after="0" w:line="20" w:lineRule="atLeast"/>
        <w:rPr>
          <w:rFonts w:eastAsia="Arial Unicode MS"/>
          <w:b/>
          <w:sz w:val="20"/>
          <w:szCs w:val="20"/>
          <w:lang w:eastAsia="en-US"/>
        </w:rPr>
      </w:pPr>
    </w:p>
    <w:p w14:paraId="04BF2889" w14:textId="77777777" w:rsidR="006D75F3" w:rsidRDefault="006D75F3" w:rsidP="006D75F3">
      <w:pPr>
        <w:spacing w:after="0" w:line="20" w:lineRule="atLeast"/>
        <w:rPr>
          <w:rFonts w:eastAsia="Arial Unicode MS"/>
          <w:b/>
          <w:sz w:val="20"/>
          <w:szCs w:val="20"/>
          <w:lang w:eastAsia="en-US"/>
        </w:rPr>
      </w:pPr>
    </w:p>
    <w:p w14:paraId="16E540EF" w14:textId="77777777" w:rsidR="006D75F3" w:rsidRDefault="006D75F3" w:rsidP="006D75F3">
      <w:pPr>
        <w:spacing w:after="0" w:line="20" w:lineRule="atLeast"/>
        <w:rPr>
          <w:rFonts w:eastAsia="Arial Unicode MS"/>
          <w:b/>
          <w:sz w:val="20"/>
          <w:szCs w:val="20"/>
          <w:lang w:eastAsia="en-US"/>
        </w:rPr>
      </w:pPr>
    </w:p>
    <w:p w14:paraId="2A336846" w14:textId="77777777" w:rsidR="006D75F3" w:rsidRDefault="006D75F3" w:rsidP="006D75F3">
      <w:pPr>
        <w:spacing w:after="0" w:line="20" w:lineRule="atLeast"/>
        <w:rPr>
          <w:rFonts w:eastAsia="Arial Unicode MS"/>
          <w:b/>
          <w:sz w:val="20"/>
          <w:szCs w:val="20"/>
          <w:lang w:eastAsia="en-US"/>
        </w:rPr>
      </w:pPr>
    </w:p>
    <w:p w14:paraId="16DCF489" w14:textId="77777777" w:rsidR="006D75F3" w:rsidRDefault="006D75F3" w:rsidP="006D75F3">
      <w:pPr>
        <w:spacing w:after="0" w:line="20" w:lineRule="atLeast"/>
        <w:rPr>
          <w:rFonts w:eastAsia="Arial Unicode MS"/>
          <w:b/>
          <w:sz w:val="20"/>
          <w:szCs w:val="20"/>
          <w:lang w:eastAsia="en-US"/>
        </w:rPr>
      </w:pPr>
    </w:p>
    <w:p w14:paraId="0639722A" w14:textId="77777777" w:rsidR="006D75F3" w:rsidRDefault="006D75F3" w:rsidP="006D75F3">
      <w:pPr>
        <w:spacing w:after="0" w:line="20" w:lineRule="atLeast"/>
        <w:rPr>
          <w:rFonts w:eastAsia="Arial Unicode MS"/>
          <w:b/>
          <w:sz w:val="20"/>
          <w:szCs w:val="20"/>
          <w:lang w:eastAsia="en-US"/>
        </w:rPr>
      </w:pPr>
    </w:p>
    <w:p w14:paraId="1C4FCE40" w14:textId="77777777" w:rsidR="006D75F3" w:rsidRDefault="006D75F3" w:rsidP="006D75F3">
      <w:pPr>
        <w:spacing w:after="0" w:line="20" w:lineRule="atLeast"/>
        <w:rPr>
          <w:rFonts w:eastAsia="Arial Unicode MS"/>
          <w:b/>
          <w:sz w:val="20"/>
          <w:szCs w:val="20"/>
          <w:lang w:eastAsia="en-US"/>
        </w:rPr>
      </w:pPr>
    </w:p>
    <w:p w14:paraId="18331A4C" w14:textId="77777777" w:rsidR="006D75F3" w:rsidRDefault="006D75F3" w:rsidP="006D75F3">
      <w:pPr>
        <w:spacing w:after="0" w:line="20" w:lineRule="atLeast"/>
        <w:rPr>
          <w:rFonts w:eastAsia="Arial Unicode MS"/>
          <w:b/>
          <w:sz w:val="20"/>
          <w:szCs w:val="20"/>
          <w:lang w:eastAsia="en-US"/>
        </w:rPr>
      </w:pPr>
    </w:p>
    <w:p w14:paraId="2977410B" w14:textId="77777777" w:rsidR="006D75F3" w:rsidRDefault="006D75F3" w:rsidP="006D75F3">
      <w:pPr>
        <w:spacing w:after="0" w:line="20" w:lineRule="atLeast"/>
        <w:rPr>
          <w:rFonts w:eastAsia="Arial Unicode MS"/>
          <w:b/>
          <w:sz w:val="20"/>
          <w:szCs w:val="20"/>
          <w:lang w:eastAsia="en-US"/>
        </w:rPr>
      </w:pPr>
    </w:p>
    <w:p w14:paraId="29864D7E" w14:textId="77777777" w:rsidR="006D75F3" w:rsidRDefault="006D75F3" w:rsidP="006D75F3">
      <w:pPr>
        <w:spacing w:after="0" w:line="20" w:lineRule="atLeast"/>
        <w:rPr>
          <w:rFonts w:eastAsia="Arial Unicode MS"/>
          <w:b/>
          <w:sz w:val="20"/>
          <w:szCs w:val="20"/>
          <w:lang w:eastAsia="en-US"/>
        </w:rPr>
      </w:pPr>
    </w:p>
    <w:p w14:paraId="5D239A73" w14:textId="77777777" w:rsidR="006D75F3" w:rsidRDefault="006D75F3" w:rsidP="006D75F3">
      <w:pPr>
        <w:spacing w:after="0" w:line="20" w:lineRule="atLeast"/>
        <w:rPr>
          <w:rFonts w:eastAsia="Arial Unicode MS"/>
          <w:b/>
          <w:sz w:val="20"/>
          <w:szCs w:val="20"/>
          <w:lang w:eastAsia="en-US"/>
        </w:rPr>
      </w:pPr>
    </w:p>
    <w:p w14:paraId="3FD55C08" w14:textId="77777777" w:rsidR="006D75F3" w:rsidRDefault="006D75F3" w:rsidP="006D75F3">
      <w:pPr>
        <w:spacing w:after="0" w:line="20" w:lineRule="atLeast"/>
        <w:rPr>
          <w:rFonts w:eastAsia="Arial Unicode MS"/>
          <w:b/>
          <w:sz w:val="20"/>
          <w:szCs w:val="20"/>
          <w:lang w:eastAsia="en-US"/>
        </w:rPr>
      </w:pPr>
    </w:p>
    <w:p w14:paraId="4B0759DF" w14:textId="77777777" w:rsidR="006D75F3" w:rsidRDefault="006D75F3" w:rsidP="006D75F3">
      <w:pPr>
        <w:spacing w:after="0" w:line="20" w:lineRule="atLeast"/>
        <w:rPr>
          <w:rFonts w:eastAsia="Arial Unicode MS"/>
          <w:b/>
          <w:sz w:val="20"/>
          <w:szCs w:val="20"/>
          <w:lang w:eastAsia="en-US"/>
        </w:rPr>
      </w:pPr>
    </w:p>
    <w:p w14:paraId="154914F9" w14:textId="77777777" w:rsidR="006D75F3" w:rsidRDefault="006D75F3" w:rsidP="006D75F3">
      <w:pPr>
        <w:spacing w:after="0" w:line="20" w:lineRule="atLeast"/>
        <w:rPr>
          <w:rFonts w:eastAsia="Arial Unicode MS"/>
          <w:b/>
          <w:sz w:val="20"/>
          <w:szCs w:val="20"/>
          <w:lang w:eastAsia="en-US"/>
        </w:rPr>
      </w:pPr>
    </w:p>
    <w:p w14:paraId="0239C7BD" w14:textId="77777777" w:rsidR="006D75F3" w:rsidRPr="006D75F3" w:rsidRDefault="006D75F3" w:rsidP="006D75F3">
      <w:pPr>
        <w:spacing w:after="0" w:line="20" w:lineRule="atLeast"/>
        <w:jc w:val="center"/>
        <w:rPr>
          <w:rFonts w:eastAsia="Arial Unicode MS"/>
          <w:b/>
          <w:bCs/>
          <w:sz w:val="20"/>
          <w:szCs w:val="20"/>
          <w:lang w:eastAsia="en-US"/>
        </w:rPr>
      </w:pPr>
    </w:p>
    <w:p w14:paraId="6DF7D67A" w14:textId="57EBF0A4" w:rsidR="006D75F3" w:rsidRPr="006D75F3" w:rsidRDefault="006D75F3" w:rsidP="006D75F3">
      <w:pPr>
        <w:tabs>
          <w:tab w:val="left" w:pos="1092"/>
        </w:tabs>
        <w:spacing w:after="0" w:line="20" w:lineRule="atLeast"/>
        <w:jc w:val="center"/>
        <w:rPr>
          <w:b/>
          <w:bCs/>
          <w:sz w:val="20"/>
          <w:szCs w:val="20"/>
          <w:lang w:eastAsia="en-US"/>
        </w:rPr>
      </w:pPr>
      <w:r w:rsidRPr="006D75F3">
        <w:rPr>
          <w:b/>
          <w:bCs/>
          <w:sz w:val="20"/>
          <w:szCs w:val="20"/>
          <w:lang w:eastAsia="en-US"/>
        </w:rPr>
        <w:t>SCHEDULE 4</w:t>
      </w:r>
    </w:p>
    <w:p w14:paraId="5BCFA55C" w14:textId="7DB04299" w:rsidR="006D75F3" w:rsidRPr="006D75F3" w:rsidRDefault="006D75F3" w:rsidP="006D75F3">
      <w:pPr>
        <w:tabs>
          <w:tab w:val="left" w:pos="1092"/>
        </w:tabs>
        <w:spacing w:after="0" w:line="20" w:lineRule="atLeast"/>
        <w:jc w:val="center"/>
        <w:rPr>
          <w:b/>
          <w:bCs/>
          <w:sz w:val="20"/>
          <w:szCs w:val="20"/>
          <w:lang w:eastAsia="en-US"/>
        </w:rPr>
      </w:pPr>
      <w:r w:rsidRPr="006D75F3">
        <w:rPr>
          <w:b/>
          <w:bCs/>
          <w:sz w:val="20"/>
          <w:szCs w:val="20"/>
          <w:lang w:eastAsia="en-US"/>
        </w:rPr>
        <w:t>APPROPRIATE TECHNICAL AND ORGANISATIONAL SECURITY MEASURES</w:t>
      </w:r>
    </w:p>
    <w:p w14:paraId="66AA162E" w14:textId="77777777" w:rsidR="006D75F3" w:rsidRDefault="006D75F3" w:rsidP="006D75F3">
      <w:pPr>
        <w:tabs>
          <w:tab w:val="left" w:pos="1092"/>
        </w:tabs>
        <w:spacing w:after="0" w:line="20" w:lineRule="atLeast"/>
        <w:rPr>
          <w:sz w:val="20"/>
          <w:szCs w:val="20"/>
          <w:lang w:eastAsia="en-US"/>
        </w:rPr>
      </w:pPr>
    </w:p>
    <w:p w14:paraId="0761DE14" w14:textId="480799F5" w:rsidR="006D75F3" w:rsidRPr="006D75F3" w:rsidRDefault="006D75F3" w:rsidP="006D75F3">
      <w:pPr>
        <w:tabs>
          <w:tab w:val="left" w:pos="1092"/>
        </w:tabs>
        <w:spacing w:after="0" w:line="20" w:lineRule="atLeast"/>
        <w:rPr>
          <w:sz w:val="20"/>
          <w:szCs w:val="20"/>
          <w:lang w:eastAsia="en-US"/>
        </w:rPr>
      </w:pPr>
      <w:r w:rsidRPr="0018528C">
        <w:rPr>
          <w:sz w:val="20"/>
          <w:szCs w:val="20"/>
          <w:lang w:eastAsia="en-US"/>
        </w:rPr>
        <w:t>[ADD]</w:t>
      </w:r>
    </w:p>
    <w:p w14:paraId="5DDE3C15" w14:textId="77777777" w:rsidR="001632FB" w:rsidRDefault="001632FB" w:rsidP="006D75F3">
      <w:pPr>
        <w:tabs>
          <w:tab w:val="left" w:pos="1188"/>
        </w:tabs>
        <w:spacing w:after="0" w:line="20" w:lineRule="atLeast"/>
        <w:rPr>
          <w:sz w:val="20"/>
          <w:szCs w:val="20"/>
          <w:lang w:eastAsia="en-US"/>
        </w:rPr>
      </w:pPr>
    </w:p>
    <w:p w14:paraId="7B773F11" w14:textId="77777777" w:rsidR="006D75F3" w:rsidRDefault="006D75F3" w:rsidP="006D75F3">
      <w:pPr>
        <w:tabs>
          <w:tab w:val="left" w:pos="1188"/>
        </w:tabs>
        <w:spacing w:after="0" w:line="20" w:lineRule="atLeast"/>
        <w:rPr>
          <w:sz w:val="20"/>
          <w:szCs w:val="20"/>
          <w:lang w:eastAsia="en-US"/>
        </w:rPr>
      </w:pPr>
    </w:p>
    <w:p w14:paraId="3A284880" w14:textId="77777777" w:rsidR="006D75F3" w:rsidRDefault="006D75F3" w:rsidP="006D75F3">
      <w:pPr>
        <w:tabs>
          <w:tab w:val="left" w:pos="1188"/>
        </w:tabs>
        <w:spacing w:after="0" w:line="20" w:lineRule="atLeast"/>
        <w:rPr>
          <w:sz w:val="20"/>
          <w:szCs w:val="20"/>
          <w:lang w:eastAsia="en-US"/>
        </w:rPr>
      </w:pPr>
    </w:p>
    <w:p w14:paraId="542B7CFE" w14:textId="77777777" w:rsidR="006D75F3" w:rsidRDefault="006D75F3" w:rsidP="006D75F3">
      <w:pPr>
        <w:tabs>
          <w:tab w:val="left" w:pos="1188"/>
        </w:tabs>
        <w:spacing w:after="0" w:line="20" w:lineRule="atLeast"/>
        <w:rPr>
          <w:sz w:val="20"/>
          <w:szCs w:val="20"/>
          <w:lang w:eastAsia="en-US"/>
        </w:rPr>
      </w:pPr>
    </w:p>
    <w:p w14:paraId="440A3985" w14:textId="77777777" w:rsidR="006D75F3" w:rsidRDefault="006D75F3" w:rsidP="006D75F3">
      <w:pPr>
        <w:tabs>
          <w:tab w:val="left" w:pos="1188"/>
        </w:tabs>
        <w:spacing w:after="0" w:line="20" w:lineRule="atLeast"/>
        <w:rPr>
          <w:sz w:val="20"/>
          <w:szCs w:val="20"/>
          <w:lang w:eastAsia="en-US"/>
        </w:rPr>
      </w:pPr>
    </w:p>
    <w:p w14:paraId="53FACB5D" w14:textId="77777777" w:rsidR="006D75F3" w:rsidRDefault="006D75F3" w:rsidP="006D75F3">
      <w:pPr>
        <w:tabs>
          <w:tab w:val="left" w:pos="1188"/>
        </w:tabs>
        <w:spacing w:after="0" w:line="20" w:lineRule="atLeast"/>
        <w:rPr>
          <w:sz w:val="20"/>
          <w:szCs w:val="20"/>
          <w:lang w:eastAsia="en-US"/>
        </w:rPr>
      </w:pPr>
    </w:p>
    <w:p w14:paraId="7D557313" w14:textId="77777777" w:rsidR="006D75F3" w:rsidRDefault="006D75F3" w:rsidP="006D75F3">
      <w:pPr>
        <w:tabs>
          <w:tab w:val="left" w:pos="1188"/>
        </w:tabs>
        <w:spacing w:after="0" w:line="20" w:lineRule="atLeast"/>
        <w:rPr>
          <w:sz w:val="20"/>
          <w:szCs w:val="20"/>
          <w:lang w:eastAsia="en-US"/>
        </w:rPr>
      </w:pPr>
    </w:p>
    <w:p w14:paraId="13F02A2E" w14:textId="77777777" w:rsidR="006D75F3" w:rsidRDefault="006D75F3" w:rsidP="006D75F3">
      <w:pPr>
        <w:tabs>
          <w:tab w:val="left" w:pos="1188"/>
        </w:tabs>
        <w:spacing w:after="0" w:line="20" w:lineRule="atLeast"/>
        <w:rPr>
          <w:sz w:val="20"/>
          <w:szCs w:val="20"/>
          <w:lang w:eastAsia="en-US"/>
        </w:rPr>
      </w:pPr>
    </w:p>
    <w:p w14:paraId="2504E43E" w14:textId="77777777" w:rsidR="006D75F3" w:rsidRDefault="006D75F3" w:rsidP="006D75F3">
      <w:pPr>
        <w:tabs>
          <w:tab w:val="left" w:pos="1188"/>
        </w:tabs>
        <w:spacing w:after="0" w:line="20" w:lineRule="atLeast"/>
        <w:rPr>
          <w:sz w:val="20"/>
          <w:szCs w:val="20"/>
          <w:lang w:eastAsia="en-US"/>
        </w:rPr>
      </w:pPr>
    </w:p>
    <w:p w14:paraId="021F36B0" w14:textId="77777777" w:rsidR="006D75F3" w:rsidRDefault="006D75F3" w:rsidP="006D75F3">
      <w:pPr>
        <w:tabs>
          <w:tab w:val="left" w:pos="1188"/>
        </w:tabs>
        <w:spacing w:after="0" w:line="20" w:lineRule="atLeast"/>
        <w:rPr>
          <w:sz w:val="20"/>
          <w:szCs w:val="20"/>
          <w:lang w:eastAsia="en-US"/>
        </w:rPr>
      </w:pPr>
    </w:p>
    <w:p w14:paraId="4606EF98" w14:textId="77777777" w:rsidR="006D75F3" w:rsidRDefault="006D75F3" w:rsidP="006D75F3">
      <w:pPr>
        <w:tabs>
          <w:tab w:val="left" w:pos="1188"/>
        </w:tabs>
        <w:spacing w:after="0" w:line="20" w:lineRule="atLeast"/>
        <w:rPr>
          <w:sz w:val="20"/>
          <w:szCs w:val="20"/>
          <w:lang w:eastAsia="en-US"/>
        </w:rPr>
      </w:pPr>
    </w:p>
    <w:p w14:paraId="2BAB688A" w14:textId="77777777" w:rsidR="006D75F3" w:rsidRDefault="006D75F3" w:rsidP="006D75F3">
      <w:pPr>
        <w:tabs>
          <w:tab w:val="left" w:pos="1188"/>
        </w:tabs>
        <w:spacing w:after="0" w:line="20" w:lineRule="atLeast"/>
        <w:rPr>
          <w:sz w:val="20"/>
          <w:szCs w:val="20"/>
          <w:lang w:eastAsia="en-US"/>
        </w:rPr>
      </w:pPr>
    </w:p>
    <w:p w14:paraId="5BB8CCCB" w14:textId="77777777" w:rsidR="006D75F3" w:rsidRDefault="006D75F3" w:rsidP="006D75F3">
      <w:pPr>
        <w:tabs>
          <w:tab w:val="left" w:pos="1188"/>
        </w:tabs>
        <w:spacing w:after="0" w:line="20" w:lineRule="atLeast"/>
        <w:rPr>
          <w:sz w:val="20"/>
          <w:szCs w:val="20"/>
          <w:lang w:eastAsia="en-US"/>
        </w:rPr>
      </w:pPr>
    </w:p>
    <w:p w14:paraId="1084FE5C" w14:textId="77777777" w:rsidR="006D75F3" w:rsidRDefault="006D75F3" w:rsidP="006D75F3">
      <w:pPr>
        <w:tabs>
          <w:tab w:val="left" w:pos="1188"/>
        </w:tabs>
        <w:spacing w:after="0" w:line="20" w:lineRule="atLeast"/>
        <w:rPr>
          <w:sz w:val="20"/>
          <w:szCs w:val="20"/>
          <w:lang w:eastAsia="en-US"/>
        </w:rPr>
      </w:pPr>
    </w:p>
    <w:p w14:paraId="0EA306A6" w14:textId="77777777" w:rsidR="006D75F3" w:rsidRDefault="006D75F3" w:rsidP="006D75F3">
      <w:pPr>
        <w:tabs>
          <w:tab w:val="left" w:pos="1188"/>
        </w:tabs>
        <w:spacing w:after="0" w:line="20" w:lineRule="atLeast"/>
        <w:rPr>
          <w:sz w:val="20"/>
          <w:szCs w:val="20"/>
          <w:lang w:eastAsia="en-US"/>
        </w:rPr>
      </w:pPr>
    </w:p>
    <w:p w14:paraId="607DF6E7" w14:textId="77777777" w:rsidR="006D75F3" w:rsidRDefault="006D75F3" w:rsidP="006D75F3">
      <w:pPr>
        <w:tabs>
          <w:tab w:val="left" w:pos="1188"/>
        </w:tabs>
        <w:spacing w:after="0" w:line="20" w:lineRule="atLeast"/>
        <w:rPr>
          <w:sz w:val="20"/>
          <w:szCs w:val="20"/>
          <w:lang w:eastAsia="en-US"/>
        </w:rPr>
      </w:pPr>
    </w:p>
    <w:p w14:paraId="54930E42" w14:textId="77777777" w:rsidR="006D75F3" w:rsidRDefault="006D75F3" w:rsidP="006D75F3">
      <w:pPr>
        <w:tabs>
          <w:tab w:val="left" w:pos="1188"/>
        </w:tabs>
        <w:spacing w:after="0" w:line="20" w:lineRule="atLeast"/>
        <w:rPr>
          <w:sz w:val="20"/>
          <w:szCs w:val="20"/>
          <w:lang w:eastAsia="en-US"/>
        </w:rPr>
      </w:pPr>
    </w:p>
    <w:p w14:paraId="3D236C48" w14:textId="77777777" w:rsidR="006D75F3" w:rsidRDefault="006D75F3" w:rsidP="006D75F3">
      <w:pPr>
        <w:tabs>
          <w:tab w:val="left" w:pos="1188"/>
        </w:tabs>
        <w:spacing w:after="0" w:line="20" w:lineRule="atLeast"/>
        <w:rPr>
          <w:sz w:val="20"/>
          <w:szCs w:val="20"/>
          <w:lang w:eastAsia="en-US"/>
        </w:rPr>
      </w:pPr>
    </w:p>
    <w:p w14:paraId="2CFD940C" w14:textId="77777777" w:rsidR="006D75F3" w:rsidRDefault="006D75F3" w:rsidP="006D75F3">
      <w:pPr>
        <w:tabs>
          <w:tab w:val="left" w:pos="1188"/>
        </w:tabs>
        <w:spacing w:after="0" w:line="20" w:lineRule="atLeast"/>
        <w:rPr>
          <w:sz w:val="20"/>
          <w:szCs w:val="20"/>
          <w:lang w:eastAsia="en-US"/>
        </w:rPr>
      </w:pPr>
    </w:p>
    <w:p w14:paraId="106823B6" w14:textId="77777777" w:rsidR="006D75F3" w:rsidRDefault="006D75F3" w:rsidP="006D75F3">
      <w:pPr>
        <w:tabs>
          <w:tab w:val="left" w:pos="1188"/>
        </w:tabs>
        <w:spacing w:after="0" w:line="20" w:lineRule="atLeast"/>
        <w:rPr>
          <w:sz w:val="20"/>
          <w:szCs w:val="20"/>
          <w:lang w:eastAsia="en-US"/>
        </w:rPr>
      </w:pPr>
    </w:p>
    <w:p w14:paraId="4B61448D" w14:textId="77777777" w:rsidR="006D75F3" w:rsidRDefault="006D75F3" w:rsidP="006D75F3">
      <w:pPr>
        <w:tabs>
          <w:tab w:val="left" w:pos="1188"/>
        </w:tabs>
        <w:spacing w:after="0" w:line="20" w:lineRule="atLeast"/>
        <w:rPr>
          <w:sz w:val="20"/>
          <w:szCs w:val="20"/>
          <w:lang w:eastAsia="en-US"/>
        </w:rPr>
      </w:pPr>
    </w:p>
    <w:p w14:paraId="3B19778C" w14:textId="77777777" w:rsidR="006D75F3" w:rsidRDefault="006D75F3" w:rsidP="006D75F3">
      <w:pPr>
        <w:tabs>
          <w:tab w:val="left" w:pos="1188"/>
        </w:tabs>
        <w:spacing w:after="0" w:line="20" w:lineRule="atLeast"/>
        <w:rPr>
          <w:sz w:val="20"/>
          <w:szCs w:val="20"/>
          <w:lang w:eastAsia="en-US"/>
        </w:rPr>
      </w:pPr>
    </w:p>
    <w:p w14:paraId="77D7624D" w14:textId="77777777" w:rsidR="006D75F3" w:rsidRDefault="006D75F3" w:rsidP="006D75F3">
      <w:pPr>
        <w:tabs>
          <w:tab w:val="left" w:pos="1188"/>
        </w:tabs>
        <w:spacing w:after="0" w:line="20" w:lineRule="atLeast"/>
        <w:rPr>
          <w:sz w:val="20"/>
          <w:szCs w:val="20"/>
          <w:lang w:eastAsia="en-US"/>
        </w:rPr>
      </w:pPr>
    </w:p>
    <w:p w14:paraId="4FC4B18B" w14:textId="77777777" w:rsidR="006D75F3" w:rsidRDefault="006D75F3" w:rsidP="006D75F3">
      <w:pPr>
        <w:tabs>
          <w:tab w:val="left" w:pos="1188"/>
        </w:tabs>
        <w:spacing w:after="0" w:line="20" w:lineRule="atLeast"/>
        <w:rPr>
          <w:sz w:val="20"/>
          <w:szCs w:val="20"/>
          <w:lang w:eastAsia="en-US"/>
        </w:rPr>
      </w:pPr>
    </w:p>
    <w:p w14:paraId="5F3CED48" w14:textId="77777777" w:rsidR="006D75F3" w:rsidRDefault="006D75F3" w:rsidP="006D75F3">
      <w:pPr>
        <w:tabs>
          <w:tab w:val="left" w:pos="1188"/>
        </w:tabs>
        <w:spacing w:after="0" w:line="20" w:lineRule="atLeast"/>
        <w:rPr>
          <w:sz w:val="20"/>
          <w:szCs w:val="20"/>
          <w:lang w:eastAsia="en-US"/>
        </w:rPr>
      </w:pPr>
    </w:p>
    <w:p w14:paraId="0AE127C4" w14:textId="77777777" w:rsidR="006D75F3" w:rsidRDefault="006D75F3" w:rsidP="006D75F3">
      <w:pPr>
        <w:tabs>
          <w:tab w:val="left" w:pos="1188"/>
        </w:tabs>
        <w:spacing w:after="0" w:line="20" w:lineRule="atLeast"/>
        <w:rPr>
          <w:sz w:val="20"/>
          <w:szCs w:val="20"/>
          <w:lang w:eastAsia="en-US"/>
        </w:rPr>
      </w:pPr>
    </w:p>
    <w:p w14:paraId="18F28840" w14:textId="77777777" w:rsidR="006D75F3" w:rsidRDefault="006D75F3" w:rsidP="006D75F3">
      <w:pPr>
        <w:tabs>
          <w:tab w:val="left" w:pos="1188"/>
        </w:tabs>
        <w:spacing w:after="0" w:line="20" w:lineRule="atLeast"/>
        <w:rPr>
          <w:sz w:val="20"/>
          <w:szCs w:val="20"/>
          <w:lang w:eastAsia="en-US"/>
        </w:rPr>
      </w:pPr>
    </w:p>
    <w:p w14:paraId="62456ADF" w14:textId="77777777" w:rsidR="006D75F3" w:rsidRDefault="006D75F3" w:rsidP="006D75F3">
      <w:pPr>
        <w:tabs>
          <w:tab w:val="left" w:pos="1188"/>
        </w:tabs>
        <w:spacing w:after="0" w:line="20" w:lineRule="atLeast"/>
        <w:rPr>
          <w:sz w:val="20"/>
          <w:szCs w:val="20"/>
          <w:lang w:eastAsia="en-US"/>
        </w:rPr>
      </w:pPr>
    </w:p>
    <w:p w14:paraId="5B823511" w14:textId="77777777" w:rsidR="006D75F3" w:rsidRDefault="006D75F3" w:rsidP="006D75F3">
      <w:pPr>
        <w:tabs>
          <w:tab w:val="left" w:pos="1188"/>
        </w:tabs>
        <w:spacing w:after="0" w:line="20" w:lineRule="atLeast"/>
        <w:rPr>
          <w:sz w:val="20"/>
          <w:szCs w:val="20"/>
          <w:lang w:eastAsia="en-US"/>
        </w:rPr>
      </w:pPr>
    </w:p>
    <w:p w14:paraId="3FE0C236" w14:textId="77777777" w:rsidR="006D75F3" w:rsidRDefault="006D75F3" w:rsidP="006D75F3">
      <w:pPr>
        <w:tabs>
          <w:tab w:val="left" w:pos="1188"/>
        </w:tabs>
        <w:spacing w:after="0" w:line="20" w:lineRule="atLeast"/>
        <w:rPr>
          <w:sz w:val="20"/>
          <w:szCs w:val="20"/>
          <w:lang w:eastAsia="en-US"/>
        </w:rPr>
      </w:pPr>
    </w:p>
    <w:p w14:paraId="5F01DDE7" w14:textId="77777777" w:rsidR="006D75F3" w:rsidRDefault="006D75F3" w:rsidP="006D75F3">
      <w:pPr>
        <w:tabs>
          <w:tab w:val="left" w:pos="1188"/>
        </w:tabs>
        <w:spacing w:after="0" w:line="20" w:lineRule="atLeast"/>
        <w:rPr>
          <w:sz w:val="20"/>
          <w:szCs w:val="20"/>
          <w:lang w:eastAsia="en-US"/>
        </w:rPr>
      </w:pPr>
    </w:p>
    <w:p w14:paraId="658BC34C" w14:textId="77777777" w:rsidR="006D75F3" w:rsidRDefault="006D75F3" w:rsidP="006D75F3">
      <w:pPr>
        <w:tabs>
          <w:tab w:val="left" w:pos="1188"/>
        </w:tabs>
        <w:spacing w:after="0" w:line="20" w:lineRule="atLeast"/>
        <w:rPr>
          <w:sz w:val="20"/>
          <w:szCs w:val="20"/>
          <w:lang w:eastAsia="en-US"/>
        </w:rPr>
      </w:pPr>
    </w:p>
    <w:p w14:paraId="76B822E4" w14:textId="77777777" w:rsidR="006D75F3" w:rsidRDefault="006D75F3" w:rsidP="006D75F3">
      <w:pPr>
        <w:tabs>
          <w:tab w:val="left" w:pos="1188"/>
        </w:tabs>
        <w:spacing w:after="0" w:line="20" w:lineRule="atLeast"/>
        <w:rPr>
          <w:sz w:val="20"/>
          <w:szCs w:val="20"/>
          <w:lang w:eastAsia="en-US"/>
        </w:rPr>
      </w:pPr>
    </w:p>
    <w:p w14:paraId="7D5142EA" w14:textId="77777777" w:rsidR="006D75F3" w:rsidRDefault="006D75F3" w:rsidP="006D75F3">
      <w:pPr>
        <w:tabs>
          <w:tab w:val="left" w:pos="1188"/>
        </w:tabs>
        <w:spacing w:after="0" w:line="20" w:lineRule="atLeast"/>
        <w:rPr>
          <w:sz w:val="20"/>
          <w:szCs w:val="20"/>
          <w:lang w:eastAsia="en-US"/>
        </w:rPr>
      </w:pPr>
    </w:p>
    <w:p w14:paraId="3D41D7AE" w14:textId="77777777" w:rsidR="006D75F3" w:rsidRDefault="006D75F3" w:rsidP="006D75F3">
      <w:pPr>
        <w:tabs>
          <w:tab w:val="left" w:pos="1188"/>
        </w:tabs>
        <w:spacing w:after="0" w:line="20" w:lineRule="atLeast"/>
        <w:rPr>
          <w:sz w:val="20"/>
          <w:szCs w:val="20"/>
          <w:lang w:eastAsia="en-US"/>
        </w:rPr>
      </w:pPr>
    </w:p>
    <w:p w14:paraId="5B7D5B86" w14:textId="77777777" w:rsidR="006D75F3" w:rsidRDefault="006D75F3" w:rsidP="006D75F3">
      <w:pPr>
        <w:tabs>
          <w:tab w:val="left" w:pos="1188"/>
        </w:tabs>
        <w:spacing w:after="0" w:line="20" w:lineRule="atLeast"/>
        <w:rPr>
          <w:sz w:val="20"/>
          <w:szCs w:val="20"/>
          <w:lang w:eastAsia="en-US"/>
        </w:rPr>
      </w:pPr>
    </w:p>
    <w:p w14:paraId="2339E422" w14:textId="77777777" w:rsidR="006D75F3" w:rsidRDefault="006D75F3" w:rsidP="006D75F3">
      <w:pPr>
        <w:tabs>
          <w:tab w:val="left" w:pos="1188"/>
        </w:tabs>
        <w:spacing w:after="0" w:line="20" w:lineRule="atLeast"/>
        <w:rPr>
          <w:sz w:val="20"/>
          <w:szCs w:val="20"/>
          <w:lang w:eastAsia="en-US"/>
        </w:rPr>
      </w:pPr>
    </w:p>
    <w:p w14:paraId="18B540DC" w14:textId="77777777" w:rsidR="006D75F3" w:rsidRDefault="006D75F3" w:rsidP="006D75F3">
      <w:pPr>
        <w:tabs>
          <w:tab w:val="left" w:pos="1188"/>
        </w:tabs>
        <w:spacing w:after="0" w:line="20" w:lineRule="atLeast"/>
        <w:rPr>
          <w:sz w:val="20"/>
          <w:szCs w:val="20"/>
          <w:lang w:eastAsia="en-US"/>
        </w:rPr>
      </w:pPr>
    </w:p>
    <w:p w14:paraId="3AC0E16A" w14:textId="77777777" w:rsidR="006D75F3" w:rsidRDefault="006D75F3" w:rsidP="006D75F3">
      <w:pPr>
        <w:tabs>
          <w:tab w:val="left" w:pos="1188"/>
        </w:tabs>
        <w:spacing w:after="0" w:line="20" w:lineRule="atLeast"/>
        <w:rPr>
          <w:sz w:val="20"/>
          <w:szCs w:val="20"/>
          <w:lang w:eastAsia="en-US"/>
        </w:rPr>
      </w:pPr>
    </w:p>
    <w:p w14:paraId="1DD52A75" w14:textId="77777777" w:rsidR="006D75F3" w:rsidRDefault="006D75F3" w:rsidP="006D75F3">
      <w:pPr>
        <w:tabs>
          <w:tab w:val="left" w:pos="1188"/>
        </w:tabs>
        <w:spacing w:after="0" w:line="20" w:lineRule="atLeast"/>
        <w:rPr>
          <w:sz w:val="20"/>
          <w:szCs w:val="20"/>
          <w:lang w:eastAsia="en-US"/>
        </w:rPr>
      </w:pPr>
    </w:p>
    <w:p w14:paraId="153B8D41" w14:textId="77777777" w:rsidR="006D75F3" w:rsidRDefault="006D75F3" w:rsidP="006D75F3">
      <w:pPr>
        <w:tabs>
          <w:tab w:val="left" w:pos="1188"/>
        </w:tabs>
        <w:spacing w:after="0" w:line="20" w:lineRule="atLeast"/>
        <w:rPr>
          <w:sz w:val="20"/>
          <w:szCs w:val="20"/>
          <w:lang w:eastAsia="en-US"/>
        </w:rPr>
      </w:pPr>
    </w:p>
    <w:p w14:paraId="1DE07A22" w14:textId="77777777" w:rsidR="006D75F3" w:rsidRDefault="006D75F3" w:rsidP="006D75F3">
      <w:pPr>
        <w:tabs>
          <w:tab w:val="left" w:pos="1188"/>
        </w:tabs>
        <w:spacing w:after="0" w:line="20" w:lineRule="atLeast"/>
        <w:rPr>
          <w:sz w:val="20"/>
          <w:szCs w:val="20"/>
          <w:lang w:eastAsia="en-US"/>
        </w:rPr>
      </w:pPr>
    </w:p>
    <w:p w14:paraId="4AB258B4" w14:textId="77777777" w:rsidR="006D75F3" w:rsidRDefault="006D75F3" w:rsidP="006D75F3">
      <w:pPr>
        <w:tabs>
          <w:tab w:val="left" w:pos="1188"/>
        </w:tabs>
        <w:spacing w:after="0" w:line="20" w:lineRule="atLeast"/>
        <w:rPr>
          <w:sz w:val="20"/>
          <w:szCs w:val="20"/>
          <w:lang w:eastAsia="en-US"/>
        </w:rPr>
      </w:pPr>
    </w:p>
    <w:p w14:paraId="5BF25BB0" w14:textId="77777777" w:rsidR="006D75F3" w:rsidRDefault="006D75F3" w:rsidP="006D75F3">
      <w:pPr>
        <w:tabs>
          <w:tab w:val="left" w:pos="1188"/>
        </w:tabs>
        <w:spacing w:after="0" w:line="20" w:lineRule="atLeast"/>
        <w:rPr>
          <w:sz w:val="20"/>
          <w:szCs w:val="20"/>
          <w:lang w:eastAsia="en-US"/>
        </w:rPr>
      </w:pPr>
    </w:p>
    <w:p w14:paraId="523B5F38" w14:textId="77777777" w:rsidR="006D75F3" w:rsidRDefault="006D75F3" w:rsidP="006D75F3">
      <w:pPr>
        <w:tabs>
          <w:tab w:val="left" w:pos="1188"/>
        </w:tabs>
        <w:spacing w:after="0" w:line="20" w:lineRule="atLeast"/>
        <w:rPr>
          <w:sz w:val="20"/>
          <w:szCs w:val="20"/>
          <w:lang w:eastAsia="en-US"/>
        </w:rPr>
      </w:pPr>
    </w:p>
    <w:p w14:paraId="5EB785A4" w14:textId="77777777" w:rsidR="006D75F3" w:rsidRDefault="006D75F3" w:rsidP="006D75F3">
      <w:pPr>
        <w:tabs>
          <w:tab w:val="left" w:pos="1188"/>
        </w:tabs>
        <w:spacing w:after="0" w:line="20" w:lineRule="atLeast"/>
        <w:rPr>
          <w:sz w:val="20"/>
          <w:szCs w:val="20"/>
          <w:lang w:eastAsia="en-US"/>
        </w:rPr>
      </w:pPr>
    </w:p>
    <w:p w14:paraId="212DE6DE" w14:textId="77777777" w:rsidR="006D75F3" w:rsidRDefault="006D75F3" w:rsidP="006D75F3">
      <w:pPr>
        <w:tabs>
          <w:tab w:val="left" w:pos="1188"/>
        </w:tabs>
        <w:spacing w:after="0" w:line="20" w:lineRule="atLeast"/>
        <w:rPr>
          <w:sz w:val="20"/>
          <w:szCs w:val="20"/>
          <w:lang w:eastAsia="en-US"/>
        </w:rPr>
      </w:pPr>
    </w:p>
    <w:p w14:paraId="57DF461F" w14:textId="77777777" w:rsidR="006D75F3" w:rsidRDefault="006D75F3" w:rsidP="006D75F3">
      <w:pPr>
        <w:tabs>
          <w:tab w:val="left" w:pos="1188"/>
        </w:tabs>
        <w:spacing w:after="0" w:line="20" w:lineRule="atLeast"/>
        <w:rPr>
          <w:sz w:val="20"/>
          <w:szCs w:val="20"/>
          <w:lang w:eastAsia="en-US"/>
        </w:rPr>
      </w:pPr>
    </w:p>
    <w:p w14:paraId="1C412214" w14:textId="77777777" w:rsidR="006D75F3" w:rsidRDefault="006D75F3" w:rsidP="006D75F3">
      <w:pPr>
        <w:tabs>
          <w:tab w:val="left" w:pos="1188"/>
        </w:tabs>
        <w:spacing w:after="0" w:line="20" w:lineRule="atLeast"/>
        <w:rPr>
          <w:sz w:val="20"/>
          <w:szCs w:val="20"/>
          <w:lang w:eastAsia="en-US"/>
        </w:rPr>
      </w:pPr>
    </w:p>
    <w:p w14:paraId="6BD0B54A" w14:textId="77777777" w:rsidR="006D75F3" w:rsidRDefault="006D75F3" w:rsidP="006D75F3">
      <w:pPr>
        <w:tabs>
          <w:tab w:val="left" w:pos="1188"/>
        </w:tabs>
        <w:spacing w:after="0" w:line="20" w:lineRule="atLeast"/>
        <w:rPr>
          <w:sz w:val="20"/>
          <w:szCs w:val="20"/>
          <w:lang w:eastAsia="en-US"/>
        </w:rPr>
      </w:pPr>
    </w:p>
    <w:p w14:paraId="4D7498D8" w14:textId="77777777" w:rsidR="006D75F3" w:rsidRDefault="006D75F3" w:rsidP="006D75F3">
      <w:pPr>
        <w:tabs>
          <w:tab w:val="left" w:pos="1188"/>
        </w:tabs>
        <w:spacing w:after="0" w:line="20" w:lineRule="atLeast"/>
        <w:rPr>
          <w:sz w:val="20"/>
          <w:szCs w:val="20"/>
          <w:lang w:eastAsia="en-US"/>
        </w:rPr>
      </w:pPr>
    </w:p>
    <w:p w14:paraId="7C26890D" w14:textId="77777777" w:rsidR="006D75F3" w:rsidRDefault="006D75F3" w:rsidP="006D75F3">
      <w:pPr>
        <w:tabs>
          <w:tab w:val="left" w:pos="1188"/>
        </w:tabs>
        <w:spacing w:after="0" w:line="20" w:lineRule="atLeast"/>
        <w:rPr>
          <w:sz w:val="20"/>
          <w:szCs w:val="20"/>
          <w:lang w:eastAsia="en-US"/>
        </w:rPr>
      </w:pPr>
    </w:p>
    <w:p w14:paraId="4B0DBAFC" w14:textId="77777777" w:rsidR="006D75F3" w:rsidRDefault="006D75F3" w:rsidP="006D75F3">
      <w:pPr>
        <w:tabs>
          <w:tab w:val="left" w:pos="1188"/>
        </w:tabs>
        <w:spacing w:after="0" w:line="20" w:lineRule="atLeast"/>
        <w:rPr>
          <w:sz w:val="20"/>
          <w:szCs w:val="20"/>
          <w:lang w:eastAsia="en-US"/>
        </w:rPr>
      </w:pPr>
    </w:p>
    <w:p w14:paraId="58A31B14" w14:textId="77777777" w:rsidR="006D75F3" w:rsidRPr="006D75F3" w:rsidRDefault="006D75F3" w:rsidP="006D75F3">
      <w:pPr>
        <w:tabs>
          <w:tab w:val="left" w:pos="1188"/>
        </w:tabs>
        <w:spacing w:after="0" w:line="20" w:lineRule="atLeast"/>
        <w:rPr>
          <w:sz w:val="20"/>
          <w:szCs w:val="20"/>
          <w:lang w:eastAsia="en-US"/>
        </w:rPr>
      </w:pPr>
    </w:p>
    <w:p w14:paraId="52A2B1E2" w14:textId="77777777" w:rsidR="006D75F3" w:rsidRDefault="006D75F3" w:rsidP="006D75F3">
      <w:pPr>
        <w:tabs>
          <w:tab w:val="left" w:pos="1188"/>
        </w:tabs>
        <w:spacing w:after="0" w:line="20" w:lineRule="atLeast"/>
        <w:rPr>
          <w:sz w:val="20"/>
          <w:szCs w:val="20"/>
          <w:lang w:eastAsia="en-US"/>
        </w:rPr>
      </w:pPr>
    </w:p>
    <w:p w14:paraId="767FF201" w14:textId="2574198F" w:rsidR="006D75F3" w:rsidRPr="006D75F3" w:rsidRDefault="006D75F3" w:rsidP="006D75F3">
      <w:pPr>
        <w:tabs>
          <w:tab w:val="left" w:pos="1188"/>
        </w:tabs>
        <w:spacing w:after="0" w:line="20" w:lineRule="atLeast"/>
        <w:jc w:val="center"/>
        <w:rPr>
          <w:b/>
          <w:bCs/>
          <w:sz w:val="20"/>
          <w:szCs w:val="20"/>
          <w:lang w:eastAsia="en-US"/>
        </w:rPr>
      </w:pPr>
      <w:r w:rsidRPr="006D75F3">
        <w:rPr>
          <w:b/>
          <w:bCs/>
          <w:sz w:val="20"/>
          <w:szCs w:val="20"/>
          <w:lang w:eastAsia="en-US"/>
        </w:rPr>
        <w:lastRenderedPageBreak/>
        <w:t>SCHEDULE 5 DATA</w:t>
      </w:r>
    </w:p>
    <w:p w14:paraId="763C348D" w14:textId="0452C5EE" w:rsidR="006D75F3" w:rsidRPr="006D75F3" w:rsidRDefault="006D75F3" w:rsidP="006D75F3">
      <w:pPr>
        <w:tabs>
          <w:tab w:val="left" w:pos="1188"/>
        </w:tabs>
        <w:spacing w:after="0" w:line="20" w:lineRule="atLeast"/>
        <w:jc w:val="center"/>
        <w:rPr>
          <w:b/>
          <w:bCs/>
          <w:sz w:val="20"/>
          <w:szCs w:val="20"/>
          <w:lang w:eastAsia="en-US"/>
        </w:rPr>
      </w:pPr>
      <w:r w:rsidRPr="006D75F3">
        <w:rPr>
          <w:b/>
          <w:bCs/>
          <w:sz w:val="20"/>
          <w:szCs w:val="20"/>
          <w:lang w:eastAsia="en-US"/>
        </w:rPr>
        <w:t>SHARING REQUEST FORM</w:t>
      </w:r>
    </w:p>
    <w:p w14:paraId="1785A137" w14:textId="77777777" w:rsidR="006D75F3" w:rsidRDefault="006D75F3" w:rsidP="006D75F3">
      <w:pPr>
        <w:tabs>
          <w:tab w:val="left" w:pos="1188"/>
        </w:tabs>
        <w:spacing w:after="0" w:line="20" w:lineRule="atLeast"/>
        <w:rPr>
          <w:sz w:val="20"/>
          <w:szCs w:val="20"/>
          <w:lang w:eastAsia="en-US"/>
        </w:rPr>
      </w:pPr>
    </w:p>
    <w:p w14:paraId="2DFD438A" w14:textId="7EB8EDBE" w:rsidR="007132BF" w:rsidRPr="006D75F3" w:rsidRDefault="007132BF" w:rsidP="006D75F3">
      <w:pPr>
        <w:tabs>
          <w:tab w:val="left" w:pos="1188"/>
        </w:tabs>
        <w:spacing w:after="0" w:line="20" w:lineRule="atLeast"/>
        <w:rPr>
          <w:sz w:val="20"/>
          <w:szCs w:val="20"/>
          <w:lang w:eastAsia="en-US"/>
        </w:rPr>
      </w:pPr>
      <w:r w:rsidRPr="006D75F3">
        <w:rPr>
          <w:sz w:val="20"/>
          <w:szCs w:val="20"/>
          <w:lang w:eastAsia="en-US"/>
        </w:rPr>
        <w:t>For use by the party making the request for data sharing.</w:t>
      </w:r>
    </w:p>
    <w:p w14:paraId="0FED6F0F" w14:textId="77777777" w:rsidR="001632FB" w:rsidRPr="006D75F3" w:rsidRDefault="001632FB" w:rsidP="006D75F3">
      <w:pPr>
        <w:tabs>
          <w:tab w:val="left" w:pos="1188"/>
        </w:tabs>
        <w:spacing w:after="0" w:line="20" w:lineRule="atLeast"/>
        <w:rPr>
          <w:sz w:val="20"/>
          <w:szCs w:val="20"/>
          <w:lang w:eastAsia="en-US"/>
        </w:rPr>
      </w:pPr>
    </w:p>
    <w:tbl>
      <w:tblPr>
        <w:tblStyle w:val="TableGrid"/>
        <w:tblW w:w="0" w:type="auto"/>
        <w:tblLook w:val="04A0" w:firstRow="1" w:lastRow="0" w:firstColumn="1" w:lastColumn="0" w:noHBand="0" w:noVBand="1"/>
      </w:tblPr>
      <w:tblGrid>
        <w:gridCol w:w="3539"/>
        <w:gridCol w:w="6917"/>
      </w:tblGrid>
      <w:tr w:rsidR="007132BF" w:rsidRPr="006D75F3" w14:paraId="216E631A" w14:textId="77777777" w:rsidTr="0075657A">
        <w:tc>
          <w:tcPr>
            <w:tcW w:w="3539" w:type="dxa"/>
            <w:shd w:val="clear" w:color="auto" w:fill="DBE5F1" w:themeFill="accent1" w:themeFillTint="33"/>
          </w:tcPr>
          <w:p w14:paraId="7D751A20" w14:textId="724089C0" w:rsidR="0075657A" w:rsidRPr="006D75F3" w:rsidRDefault="0075657A" w:rsidP="006D75F3">
            <w:pPr>
              <w:tabs>
                <w:tab w:val="left" w:pos="1188"/>
              </w:tabs>
              <w:spacing w:line="20" w:lineRule="atLeast"/>
              <w:rPr>
                <w:b/>
                <w:bCs/>
                <w:sz w:val="20"/>
                <w:szCs w:val="20"/>
                <w:lang w:eastAsia="en-US"/>
              </w:rPr>
            </w:pPr>
            <w:r w:rsidRPr="006D75F3">
              <w:rPr>
                <w:b/>
                <w:bCs/>
                <w:sz w:val="20"/>
                <w:szCs w:val="20"/>
                <w:lang w:eastAsia="en-US"/>
              </w:rPr>
              <w:t>Name of organisation</w:t>
            </w:r>
            <w:r w:rsidR="001632FB" w:rsidRPr="006D75F3">
              <w:rPr>
                <w:b/>
                <w:bCs/>
                <w:sz w:val="20"/>
                <w:szCs w:val="20"/>
                <w:lang w:eastAsia="en-US"/>
              </w:rPr>
              <w:t>:</w:t>
            </w:r>
          </w:p>
          <w:p w14:paraId="7E26F1FC" w14:textId="334430E5" w:rsidR="0075657A" w:rsidRPr="006D75F3" w:rsidRDefault="0075657A" w:rsidP="006D75F3">
            <w:pPr>
              <w:tabs>
                <w:tab w:val="left" w:pos="1188"/>
              </w:tabs>
              <w:spacing w:line="20" w:lineRule="atLeast"/>
              <w:rPr>
                <w:b/>
                <w:bCs/>
                <w:sz w:val="20"/>
                <w:szCs w:val="20"/>
                <w:lang w:eastAsia="en-US"/>
              </w:rPr>
            </w:pPr>
          </w:p>
        </w:tc>
        <w:tc>
          <w:tcPr>
            <w:tcW w:w="6917" w:type="dxa"/>
          </w:tcPr>
          <w:p w14:paraId="371E534C" w14:textId="77777777" w:rsidR="007132BF" w:rsidRPr="006D75F3" w:rsidRDefault="007132BF" w:rsidP="006D75F3">
            <w:pPr>
              <w:tabs>
                <w:tab w:val="left" w:pos="1188"/>
              </w:tabs>
              <w:spacing w:line="20" w:lineRule="atLeast"/>
              <w:rPr>
                <w:sz w:val="20"/>
                <w:szCs w:val="20"/>
                <w:lang w:eastAsia="en-US"/>
              </w:rPr>
            </w:pPr>
          </w:p>
        </w:tc>
      </w:tr>
      <w:tr w:rsidR="007132BF" w:rsidRPr="006D75F3" w14:paraId="2F3A6633" w14:textId="77777777" w:rsidTr="0075657A">
        <w:tc>
          <w:tcPr>
            <w:tcW w:w="3539" w:type="dxa"/>
            <w:shd w:val="clear" w:color="auto" w:fill="DBE5F1" w:themeFill="accent1" w:themeFillTint="33"/>
          </w:tcPr>
          <w:p w14:paraId="5FACA032" w14:textId="30F1742D" w:rsidR="0075657A" w:rsidRPr="006D75F3" w:rsidRDefault="0075657A" w:rsidP="006D75F3">
            <w:pPr>
              <w:tabs>
                <w:tab w:val="left" w:pos="1188"/>
              </w:tabs>
              <w:spacing w:line="20" w:lineRule="atLeast"/>
              <w:rPr>
                <w:b/>
                <w:bCs/>
                <w:sz w:val="20"/>
                <w:szCs w:val="20"/>
                <w:lang w:eastAsia="en-US"/>
              </w:rPr>
            </w:pPr>
            <w:r w:rsidRPr="006D75F3">
              <w:rPr>
                <w:b/>
                <w:bCs/>
                <w:sz w:val="20"/>
                <w:szCs w:val="20"/>
                <w:lang w:eastAsia="en-US"/>
              </w:rPr>
              <w:t>Name and position of person requesting data</w:t>
            </w:r>
            <w:r w:rsidR="001632FB" w:rsidRPr="006D75F3">
              <w:rPr>
                <w:b/>
                <w:bCs/>
                <w:sz w:val="20"/>
                <w:szCs w:val="20"/>
                <w:lang w:eastAsia="en-US"/>
              </w:rPr>
              <w:t>:</w:t>
            </w:r>
          </w:p>
          <w:p w14:paraId="22DCA3C7" w14:textId="6A9C6EDC" w:rsidR="001632FB" w:rsidRPr="006D75F3" w:rsidRDefault="001632FB" w:rsidP="006D75F3">
            <w:pPr>
              <w:tabs>
                <w:tab w:val="left" w:pos="1188"/>
              </w:tabs>
              <w:spacing w:line="20" w:lineRule="atLeast"/>
              <w:rPr>
                <w:b/>
                <w:bCs/>
                <w:sz w:val="20"/>
                <w:szCs w:val="20"/>
                <w:lang w:eastAsia="en-US"/>
              </w:rPr>
            </w:pPr>
          </w:p>
        </w:tc>
        <w:tc>
          <w:tcPr>
            <w:tcW w:w="6917" w:type="dxa"/>
          </w:tcPr>
          <w:p w14:paraId="0583E024" w14:textId="77777777" w:rsidR="007132BF" w:rsidRPr="006D75F3" w:rsidRDefault="007132BF" w:rsidP="006D75F3">
            <w:pPr>
              <w:tabs>
                <w:tab w:val="left" w:pos="1188"/>
              </w:tabs>
              <w:spacing w:line="20" w:lineRule="atLeast"/>
              <w:rPr>
                <w:sz w:val="20"/>
                <w:szCs w:val="20"/>
                <w:lang w:eastAsia="en-US"/>
              </w:rPr>
            </w:pPr>
          </w:p>
        </w:tc>
      </w:tr>
      <w:tr w:rsidR="007132BF" w:rsidRPr="006D75F3" w14:paraId="4D81C4B2" w14:textId="77777777" w:rsidTr="0075657A">
        <w:tc>
          <w:tcPr>
            <w:tcW w:w="3539" w:type="dxa"/>
            <w:shd w:val="clear" w:color="auto" w:fill="DBE5F1" w:themeFill="accent1" w:themeFillTint="33"/>
          </w:tcPr>
          <w:p w14:paraId="7A029559" w14:textId="77777777" w:rsidR="001632FB" w:rsidRPr="006D75F3" w:rsidRDefault="001632FB" w:rsidP="006D75F3">
            <w:pPr>
              <w:tabs>
                <w:tab w:val="left" w:pos="1188"/>
              </w:tabs>
              <w:spacing w:line="20" w:lineRule="atLeast"/>
              <w:rPr>
                <w:b/>
                <w:bCs/>
                <w:sz w:val="20"/>
                <w:szCs w:val="20"/>
                <w:lang w:eastAsia="en-US"/>
              </w:rPr>
            </w:pPr>
            <w:r w:rsidRPr="006D75F3">
              <w:rPr>
                <w:b/>
                <w:bCs/>
                <w:sz w:val="20"/>
                <w:szCs w:val="20"/>
                <w:lang w:eastAsia="en-US"/>
              </w:rPr>
              <w:t>If the requester is not the data protection officer (DPO) or equivalent, have they been consulted and their views considered?</w:t>
            </w:r>
          </w:p>
          <w:p w14:paraId="3A7060AC" w14:textId="77777777" w:rsidR="001632FB" w:rsidRPr="006D75F3" w:rsidRDefault="001632FB" w:rsidP="006D75F3">
            <w:pPr>
              <w:tabs>
                <w:tab w:val="left" w:pos="1188"/>
              </w:tabs>
              <w:spacing w:line="20" w:lineRule="atLeast"/>
              <w:rPr>
                <w:b/>
                <w:bCs/>
                <w:sz w:val="20"/>
                <w:szCs w:val="20"/>
                <w:lang w:eastAsia="en-US"/>
              </w:rPr>
            </w:pPr>
          </w:p>
          <w:p w14:paraId="6E6F70F1" w14:textId="1221C84B" w:rsidR="001632FB" w:rsidRPr="006D75F3" w:rsidRDefault="001632FB" w:rsidP="006D75F3">
            <w:pPr>
              <w:tabs>
                <w:tab w:val="left" w:pos="1188"/>
              </w:tabs>
              <w:spacing w:line="20" w:lineRule="atLeast"/>
              <w:rPr>
                <w:b/>
                <w:bCs/>
                <w:sz w:val="20"/>
                <w:szCs w:val="20"/>
                <w:lang w:eastAsia="en-US"/>
              </w:rPr>
            </w:pPr>
          </w:p>
        </w:tc>
        <w:tc>
          <w:tcPr>
            <w:tcW w:w="6917" w:type="dxa"/>
          </w:tcPr>
          <w:p w14:paraId="444CB327" w14:textId="77777777" w:rsidR="007132BF" w:rsidRPr="006D75F3" w:rsidRDefault="007132BF" w:rsidP="006D75F3">
            <w:pPr>
              <w:tabs>
                <w:tab w:val="left" w:pos="1188"/>
              </w:tabs>
              <w:spacing w:line="20" w:lineRule="atLeast"/>
              <w:rPr>
                <w:sz w:val="20"/>
                <w:szCs w:val="20"/>
                <w:lang w:eastAsia="en-US"/>
              </w:rPr>
            </w:pPr>
          </w:p>
        </w:tc>
      </w:tr>
      <w:tr w:rsidR="007132BF" w:rsidRPr="006D75F3" w14:paraId="49664845" w14:textId="77777777" w:rsidTr="0075657A">
        <w:tc>
          <w:tcPr>
            <w:tcW w:w="3539" w:type="dxa"/>
            <w:shd w:val="clear" w:color="auto" w:fill="DBE5F1" w:themeFill="accent1" w:themeFillTint="33"/>
          </w:tcPr>
          <w:p w14:paraId="75FB1313" w14:textId="1381EB90" w:rsidR="001632FB" w:rsidRPr="006D75F3" w:rsidRDefault="001632FB" w:rsidP="006D75F3">
            <w:pPr>
              <w:tabs>
                <w:tab w:val="left" w:pos="1188"/>
              </w:tabs>
              <w:spacing w:line="20" w:lineRule="atLeast"/>
              <w:rPr>
                <w:b/>
                <w:bCs/>
                <w:sz w:val="20"/>
                <w:szCs w:val="20"/>
                <w:lang w:eastAsia="en-US"/>
              </w:rPr>
            </w:pPr>
            <w:r w:rsidRPr="006D75F3">
              <w:rPr>
                <w:b/>
                <w:bCs/>
                <w:sz w:val="20"/>
                <w:szCs w:val="20"/>
                <w:lang w:eastAsia="en-US"/>
              </w:rPr>
              <w:t>Date of request:</w:t>
            </w:r>
          </w:p>
          <w:p w14:paraId="72CD849C" w14:textId="77777777" w:rsidR="001632FB" w:rsidRPr="006D75F3" w:rsidRDefault="001632FB" w:rsidP="006D75F3">
            <w:pPr>
              <w:tabs>
                <w:tab w:val="left" w:pos="1188"/>
              </w:tabs>
              <w:spacing w:line="20" w:lineRule="atLeast"/>
              <w:rPr>
                <w:b/>
                <w:bCs/>
                <w:sz w:val="20"/>
                <w:szCs w:val="20"/>
                <w:lang w:eastAsia="en-US"/>
              </w:rPr>
            </w:pPr>
          </w:p>
          <w:p w14:paraId="0663BF3A" w14:textId="555550BE" w:rsidR="001632FB" w:rsidRPr="006D75F3" w:rsidRDefault="001632FB" w:rsidP="006D75F3">
            <w:pPr>
              <w:tabs>
                <w:tab w:val="left" w:pos="1188"/>
              </w:tabs>
              <w:spacing w:line="20" w:lineRule="atLeast"/>
              <w:rPr>
                <w:b/>
                <w:bCs/>
                <w:sz w:val="20"/>
                <w:szCs w:val="20"/>
                <w:lang w:eastAsia="en-US"/>
              </w:rPr>
            </w:pPr>
          </w:p>
        </w:tc>
        <w:tc>
          <w:tcPr>
            <w:tcW w:w="6917" w:type="dxa"/>
          </w:tcPr>
          <w:p w14:paraId="3BABD063" w14:textId="77777777" w:rsidR="007132BF" w:rsidRPr="006D75F3" w:rsidRDefault="007132BF" w:rsidP="006D75F3">
            <w:pPr>
              <w:tabs>
                <w:tab w:val="left" w:pos="1188"/>
              </w:tabs>
              <w:spacing w:line="20" w:lineRule="atLeast"/>
              <w:rPr>
                <w:sz w:val="20"/>
                <w:szCs w:val="20"/>
                <w:lang w:eastAsia="en-US"/>
              </w:rPr>
            </w:pPr>
          </w:p>
        </w:tc>
      </w:tr>
      <w:tr w:rsidR="007132BF" w:rsidRPr="006D75F3" w14:paraId="5A7ED1AF" w14:textId="77777777" w:rsidTr="0075657A">
        <w:tc>
          <w:tcPr>
            <w:tcW w:w="3539" w:type="dxa"/>
            <w:shd w:val="clear" w:color="auto" w:fill="DBE5F1" w:themeFill="accent1" w:themeFillTint="33"/>
          </w:tcPr>
          <w:p w14:paraId="1FC452BD" w14:textId="7A36BE9D" w:rsidR="001632FB" w:rsidRPr="006D75F3" w:rsidRDefault="001632FB" w:rsidP="006D75F3">
            <w:pPr>
              <w:tabs>
                <w:tab w:val="left" w:pos="1188"/>
              </w:tabs>
              <w:spacing w:line="20" w:lineRule="atLeast"/>
              <w:rPr>
                <w:b/>
                <w:bCs/>
                <w:sz w:val="20"/>
                <w:szCs w:val="20"/>
                <w:lang w:eastAsia="en-US"/>
              </w:rPr>
            </w:pPr>
            <w:r w:rsidRPr="006D75F3">
              <w:rPr>
                <w:b/>
                <w:bCs/>
                <w:sz w:val="20"/>
                <w:szCs w:val="20"/>
                <w:lang w:eastAsia="en-US"/>
              </w:rPr>
              <w:t>Description of data requested:</w:t>
            </w:r>
          </w:p>
          <w:p w14:paraId="1F85E0A6" w14:textId="77777777" w:rsidR="001632FB" w:rsidRPr="006D75F3" w:rsidRDefault="001632FB" w:rsidP="006D75F3">
            <w:pPr>
              <w:tabs>
                <w:tab w:val="left" w:pos="1188"/>
              </w:tabs>
              <w:spacing w:line="20" w:lineRule="atLeast"/>
              <w:rPr>
                <w:b/>
                <w:bCs/>
                <w:sz w:val="20"/>
                <w:szCs w:val="20"/>
                <w:lang w:eastAsia="en-US"/>
              </w:rPr>
            </w:pPr>
          </w:p>
          <w:p w14:paraId="73EF64E4" w14:textId="508665C0" w:rsidR="001632FB" w:rsidRPr="006D75F3" w:rsidRDefault="001632FB" w:rsidP="006D75F3">
            <w:pPr>
              <w:tabs>
                <w:tab w:val="left" w:pos="1188"/>
              </w:tabs>
              <w:spacing w:line="20" w:lineRule="atLeast"/>
              <w:rPr>
                <w:b/>
                <w:bCs/>
                <w:sz w:val="20"/>
                <w:szCs w:val="20"/>
                <w:lang w:eastAsia="en-US"/>
              </w:rPr>
            </w:pPr>
          </w:p>
        </w:tc>
        <w:tc>
          <w:tcPr>
            <w:tcW w:w="6917" w:type="dxa"/>
          </w:tcPr>
          <w:p w14:paraId="41FE7943" w14:textId="77777777" w:rsidR="007132BF" w:rsidRPr="006D75F3" w:rsidRDefault="007132BF" w:rsidP="006D75F3">
            <w:pPr>
              <w:tabs>
                <w:tab w:val="left" w:pos="1188"/>
              </w:tabs>
              <w:spacing w:line="20" w:lineRule="atLeast"/>
              <w:rPr>
                <w:sz w:val="20"/>
                <w:szCs w:val="20"/>
                <w:lang w:eastAsia="en-US"/>
              </w:rPr>
            </w:pPr>
          </w:p>
        </w:tc>
      </w:tr>
      <w:tr w:rsidR="007132BF" w:rsidRPr="006D75F3" w14:paraId="136E153A" w14:textId="77777777" w:rsidTr="0075657A">
        <w:tc>
          <w:tcPr>
            <w:tcW w:w="3539" w:type="dxa"/>
            <w:shd w:val="clear" w:color="auto" w:fill="DBE5F1" w:themeFill="accent1" w:themeFillTint="33"/>
          </w:tcPr>
          <w:p w14:paraId="450BD6E9" w14:textId="77777777" w:rsidR="001632FB" w:rsidRPr="006D75F3" w:rsidRDefault="001632FB" w:rsidP="006D75F3">
            <w:pPr>
              <w:tabs>
                <w:tab w:val="left" w:pos="1188"/>
              </w:tabs>
              <w:spacing w:line="20" w:lineRule="atLeast"/>
              <w:rPr>
                <w:b/>
                <w:bCs/>
                <w:sz w:val="20"/>
                <w:szCs w:val="20"/>
                <w:lang w:eastAsia="en-US"/>
              </w:rPr>
            </w:pPr>
            <w:r w:rsidRPr="006D75F3">
              <w:rPr>
                <w:b/>
                <w:bCs/>
                <w:sz w:val="20"/>
                <w:szCs w:val="20"/>
                <w:lang w:eastAsia="en-US"/>
              </w:rPr>
              <w:t>Data controller relationship</w:t>
            </w:r>
          </w:p>
          <w:p w14:paraId="020E2CB6" w14:textId="77777777" w:rsidR="001632FB" w:rsidRPr="006D75F3" w:rsidRDefault="001632FB" w:rsidP="006D75F3">
            <w:pPr>
              <w:tabs>
                <w:tab w:val="left" w:pos="1188"/>
              </w:tabs>
              <w:spacing w:line="20" w:lineRule="atLeast"/>
              <w:rPr>
                <w:b/>
                <w:bCs/>
                <w:sz w:val="20"/>
                <w:szCs w:val="20"/>
                <w:lang w:eastAsia="en-US"/>
              </w:rPr>
            </w:pPr>
          </w:p>
          <w:p w14:paraId="4E3F1851" w14:textId="64F90EEF" w:rsidR="001632FB" w:rsidRPr="006D75F3" w:rsidRDefault="001632FB" w:rsidP="006D75F3">
            <w:pPr>
              <w:tabs>
                <w:tab w:val="left" w:pos="1188"/>
              </w:tabs>
              <w:spacing w:line="20" w:lineRule="atLeast"/>
              <w:rPr>
                <w:b/>
                <w:bCs/>
                <w:sz w:val="20"/>
                <w:szCs w:val="20"/>
                <w:lang w:eastAsia="en-US"/>
              </w:rPr>
            </w:pPr>
          </w:p>
        </w:tc>
        <w:tc>
          <w:tcPr>
            <w:tcW w:w="6917" w:type="dxa"/>
          </w:tcPr>
          <w:p w14:paraId="0E7CB822" w14:textId="77777777" w:rsidR="007132BF" w:rsidRPr="006D75F3" w:rsidRDefault="00000000" w:rsidP="006D75F3">
            <w:pPr>
              <w:tabs>
                <w:tab w:val="left" w:pos="1188"/>
              </w:tabs>
              <w:spacing w:line="20" w:lineRule="atLeast"/>
              <w:rPr>
                <w:sz w:val="20"/>
                <w:szCs w:val="20"/>
                <w:lang w:eastAsia="en-US"/>
              </w:rPr>
            </w:pPr>
            <w:sdt>
              <w:sdtPr>
                <w:rPr>
                  <w:sz w:val="20"/>
                  <w:szCs w:val="20"/>
                  <w:lang w:eastAsia="en-US"/>
                </w:rPr>
                <w:id w:val="-1412925227"/>
                <w14:checkbox>
                  <w14:checked w14:val="0"/>
                  <w14:checkedState w14:val="2612" w14:font="MS Gothic"/>
                  <w14:uncheckedState w14:val="2610" w14:font="MS Gothic"/>
                </w14:checkbox>
              </w:sdtPr>
              <w:sdtContent>
                <w:r w:rsidR="007132BF" w:rsidRPr="006D75F3">
                  <w:rPr>
                    <w:rFonts w:ascii="Segoe UI Symbol" w:eastAsia="MS Gothic" w:hAnsi="Segoe UI Symbol" w:cs="Segoe UI Symbol"/>
                    <w:sz w:val="20"/>
                    <w:szCs w:val="20"/>
                    <w:lang w:eastAsia="en-US"/>
                  </w:rPr>
                  <w:t>☐</w:t>
                </w:r>
              </w:sdtContent>
            </w:sdt>
            <w:r w:rsidR="007132BF" w:rsidRPr="006D75F3">
              <w:rPr>
                <w:sz w:val="20"/>
                <w:szCs w:val="20"/>
                <w:lang w:eastAsia="en-US"/>
              </w:rPr>
              <w:t xml:space="preserve"> Joint</w:t>
            </w:r>
          </w:p>
          <w:p w14:paraId="6594AAEC" w14:textId="23067F71" w:rsidR="007132BF" w:rsidRPr="006D75F3" w:rsidRDefault="00000000" w:rsidP="006D75F3">
            <w:pPr>
              <w:tabs>
                <w:tab w:val="left" w:pos="1188"/>
              </w:tabs>
              <w:spacing w:line="20" w:lineRule="atLeast"/>
              <w:rPr>
                <w:sz w:val="20"/>
                <w:szCs w:val="20"/>
                <w:lang w:eastAsia="en-US"/>
              </w:rPr>
            </w:pPr>
            <w:sdt>
              <w:sdtPr>
                <w:rPr>
                  <w:sz w:val="20"/>
                  <w:szCs w:val="20"/>
                  <w:lang w:eastAsia="en-US"/>
                </w:rPr>
                <w:id w:val="1422368503"/>
                <w14:checkbox>
                  <w14:checked w14:val="0"/>
                  <w14:checkedState w14:val="2612" w14:font="MS Gothic"/>
                  <w14:uncheckedState w14:val="2610" w14:font="MS Gothic"/>
                </w14:checkbox>
              </w:sdtPr>
              <w:sdtContent>
                <w:r w:rsidR="007132BF" w:rsidRPr="006D75F3">
                  <w:rPr>
                    <w:rFonts w:ascii="Segoe UI Symbol" w:eastAsia="MS Gothic" w:hAnsi="Segoe UI Symbol" w:cs="Segoe UI Symbol"/>
                    <w:sz w:val="20"/>
                    <w:szCs w:val="20"/>
                    <w:lang w:eastAsia="en-US"/>
                  </w:rPr>
                  <w:t>☐</w:t>
                </w:r>
              </w:sdtContent>
            </w:sdt>
            <w:r w:rsidR="007132BF" w:rsidRPr="006D75F3">
              <w:rPr>
                <w:sz w:val="20"/>
                <w:szCs w:val="20"/>
                <w:lang w:eastAsia="en-US"/>
              </w:rPr>
              <w:t xml:space="preserve"> Separate </w:t>
            </w:r>
          </w:p>
        </w:tc>
      </w:tr>
      <w:tr w:rsidR="007132BF" w:rsidRPr="006D75F3" w14:paraId="7B768E4A" w14:textId="77777777" w:rsidTr="0075657A">
        <w:tc>
          <w:tcPr>
            <w:tcW w:w="3539" w:type="dxa"/>
            <w:shd w:val="clear" w:color="auto" w:fill="DBE5F1" w:themeFill="accent1" w:themeFillTint="33"/>
          </w:tcPr>
          <w:p w14:paraId="0DC5B4F8" w14:textId="77777777" w:rsidR="001632FB" w:rsidRPr="006D75F3" w:rsidRDefault="001632FB" w:rsidP="006D75F3">
            <w:pPr>
              <w:tabs>
                <w:tab w:val="left" w:pos="1188"/>
              </w:tabs>
              <w:spacing w:line="20" w:lineRule="atLeast"/>
              <w:rPr>
                <w:b/>
                <w:bCs/>
                <w:sz w:val="20"/>
                <w:szCs w:val="20"/>
                <w:lang w:eastAsia="en-US"/>
              </w:rPr>
            </w:pPr>
            <w:r w:rsidRPr="006D75F3">
              <w:rPr>
                <w:b/>
                <w:bCs/>
                <w:sz w:val="20"/>
                <w:szCs w:val="20"/>
                <w:lang w:eastAsia="en-US"/>
              </w:rPr>
              <w:t>Will we have a data sharing agreement in place?</w:t>
            </w:r>
          </w:p>
          <w:p w14:paraId="7388A297" w14:textId="77777777" w:rsidR="001632FB" w:rsidRPr="006D75F3" w:rsidRDefault="001632FB" w:rsidP="006D75F3">
            <w:pPr>
              <w:tabs>
                <w:tab w:val="left" w:pos="1188"/>
              </w:tabs>
              <w:spacing w:line="20" w:lineRule="atLeast"/>
              <w:rPr>
                <w:b/>
                <w:bCs/>
                <w:sz w:val="20"/>
                <w:szCs w:val="20"/>
                <w:lang w:eastAsia="en-US"/>
              </w:rPr>
            </w:pPr>
          </w:p>
          <w:p w14:paraId="0130FE5B" w14:textId="65C8FEB9" w:rsidR="001632FB" w:rsidRPr="006D75F3" w:rsidRDefault="001632FB" w:rsidP="006D75F3">
            <w:pPr>
              <w:tabs>
                <w:tab w:val="left" w:pos="1188"/>
              </w:tabs>
              <w:spacing w:line="20" w:lineRule="atLeast"/>
              <w:rPr>
                <w:b/>
                <w:bCs/>
                <w:sz w:val="20"/>
                <w:szCs w:val="20"/>
                <w:lang w:eastAsia="en-US"/>
              </w:rPr>
            </w:pPr>
          </w:p>
        </w:tc>
        <w:tc>
          <w:tcPr>
            <w:tcW w:w="6917" w:type="dxa"/>
          </w:tcPr>
          <w:p w14:paraId="7BDE73B4" w14:textId="77777777" w:rsidR="007132BF" w:rsidRPr="006D75F3" w:rsidRDefault="00000000" w:rsidP="006D75F3">
            <w:pPr>
              <w:tabs>
                <w:tab w:val="left" w:pos="1188"/>
              </w:tabs>
              <w:spacing w:line="20" w:lineRule="atLeast"/>
              <w:rPr>
                <w:sz w:val="20"/>
                <w:szCs w:val="20"/>
                <w:lang w:eastAsia="en-US"/>
              </w:rPr>
            </w:pPr>
            <w:sdt>
              <w:sdtPr>
                <w:rPr>
                  <w:sz w:val="20"/>
                  <w:szCs w:val="20"/>
                  <w:lang w:eastAsia="en-US"/>
                </w:rPr>
                <w:id w:val="1667368346"/>
                <w14:checkbox>
                  <w14:checked w14:val="0"/>
                  <w14:checkedState w14:val="2612" w14:font="MS Gothic"/>
                  <w14:uncheckedState w14:val="2610" w14:font="MS Gothic"/>
                </w14:checkbox>
              </w:sdtPr>
              <w:sdtContent>
                <w:r w:rsidR="007132BF" w:rsidRPr="006D75F3">
                  <w:rPr>
                    <w:rFonts w:ascii="Segoe UI Symbol" w:eastAsia="MS Gothic" w:hAnsi="Segoe UI Symbol" w:cs="Segoe UI Symbol"/>
                    <w:sz w:val="20"/>
                    <w:szCs w:val="20"/>
                    <w:lang w:eastAsia="en-US"/>
                  </w:rPr>
                  <w:t>☐</w:t>
                </w:r>
              </w:sdtContent>
            </w:sdt>
            <w:r w:rsidR="007132BF" w:rsidRPr="006D75F3">
              <w:rPr>
                <w:sz w:val="20"/>
                <w:szCs w:val="20"/>
                <w:lang w:eastAsia="en-US"/>
              </w:rPr>
              <w:t xml:space="preserve"> Yes</w:t>
            </w:r>
          </w:p>
          <w:p w14:paraId="4F9AA9F2" w14:textId="514B876B" w:rsidR="007132BF" w:rsidRPr="006D75F3" w:rsidRDefault="00000000" w:rsidP="006D75F3">
            <w:pPr>
              <w:tabs>
                <w:tab w:val="left" w:pos="1188"/>
              </w:tabs>
              <w:spacing w:line="20" w:lineRule="atLeast"/>
              <w:rPr>
                <w:sz w:val="20"/>
                <w:szCs w:val="20"/>
                <w:lang w:eastAsia="en-US"/>
              </w:rPr>
            </w:pPr>
            <w:sdt>
              <w:sdtPr>
                <w:rPr>
                  <w:sz w:val="20"/>
                  <w:szCs w:val="20"/>
                  <w:lang w:eastAsia="en-US"/>
                </w:rPr>
                <w:id w:val="304200462"/>
                <w14:checkbox>
                  <w14:checked w14:val="0"/>
                  <w14:checkedState w14:val="2612" w14:font="MS Gothic"/>
                  <w14:uncheckedState w14:val="2610" w14:font="MS Gothic"/>
                </w14:checkbox>
              </w:sdtPr>
              <w:sdtContent>
                <w:r w:rsidR="007132BF" w:rsidRPr="006D75F3">
                  <w:rPr>
                    <w:rFonts w:ascii="Segoe UI Symbol" w:eastAsia="MS Gothic" w:hAnsi="Segoe UI Symbol" w:cs="Segoe UI Symbol"/>
                    <w:sz w:val="20"/>
                    <w:szCs w:val="20"/>
                    <w:lang w:eastAsia="en-US"/>
                  </w:rPr>
                  <w:t>☐</w:t>
                </w:r>
              </w:sdtContent>
            </w:sdt>
            <w:r w:rsidR="007132BF" w:rsidRPr="006D75F3">
              <w:rPr>
                <w:sz w:val="20"/>
                <w:szCs w:val="20"/>
                <w:lang w:eastAsia="en-US"/>
              </w:rPr>
              <w:t xml:space="preserve"> No</w:t>
            </w:r>
          </w:p>
        </w:tc>
      </w:tr>
      <w:tr w:rsidR="007132BF" w:rsidRPr="006D75F3" w14:paraId="0AB7F9BE" w14:textId="77777777" w:rsidTr="0075657A">
        <w:tc>
          <w:tcPr>
            <w:tcW w:w="3539" w:type="dxa"/>
            <w:shd w:val="clear" w:color="auto" w:fill="DBE5F1" w:themeFill="accent1" w:themeFillTint="33"/>
          </w:tcPr>
          <w:p w14:paraId="13B487CA" w14:textId="77777777" w:rsidR="001632FB" w:rsidRPr="006D75F3" w:rsidRDefault="001632FB" w:rsidP="006D75F3">
            <w:pPr>
              <w:tabs>
                <w:tab w:val="left" w:pos="1188"/>
              </w:tabs>
              <w:spacing w:line="20" w:lineRule="atLeast"/>
              <w:rPr>
                <w:b/>
                <w:bCs/>
                <w:sz w:val="20"/>
                <w:szCs w:val="20"/>
                <w:lang w:eastAsia="en-US"/>
              </w:rPr>
            </w:pPr>
            <w:r w:rsidRPr="006D75F3">
              <w:rPr>
                <w:b/>
                <w:bCs/>
                <w:sz w:val="20"/>
                <w:szCs w:val="20"/>
                <w:lang w:eastAsia="en-US"/>
              </w:rPr>
              <w:t>Purpose of sharing:</w:t>
            </w:r>
          </w:p>
          <w:p w14:paraId="53A9C49A" w14:textId="77777777" w:rsidR="001632FB" w:rsidRPr="006D75F3" w:rsidRDefault="001632FB" w:rsidP="006D75F3">
            <w:pPr>
              <w:tabs>
                <w:tab w:val="left" w:pos="1188"/>
              </w:tabs>
              <w:spacing w:line="20" w:lineRule="atLeast"/>
              <w:rPr>
                <w:b/>
                <w:bCs/>
                <w:sz w:val="20"/>
                <w:szCs w:val="20"/>
                <w:lang w:eastAsia="en-US"/>
              </w:rPr>
            </w:pPr>
          </w:p>
          <w:p w14:paraId="0E3DAF56" w14:textId="54794031" w:rsidR="001632FB" w:rsidRPr="006D75F3" w:rsidRDefault="001632FB" w:rsidP="006D75F3">
            <w:pPr>
              <w:tabs>
                <w:tab w:val="left" w:pos="1188"/>
              </w:tabs>
              <w:spacing w:line="20" w:lineRule="atLeast"/>
              <w:rPr>
                <w:b/>
                <w:bCs/>
                <w:sz w:val="20"/>
                <w:szCs w:val="20"/>
                <w:lang w:eastAsia="en-US"/>
              </w:rPr>
            </w:pPr>
          </w:p>
        </w:tc>
        <w:tc>
          <w:tcPr>
            <w:tcW w:w="6917" w:type="dxa"/>
          </w:tcPr>
          <w:p w14:paraId="6F7C32DB" w14:textId="77777777" w:rsidR="007132BF" w:rsidRPr="006D75F3" w:rsidRDefault="007132BF" w:rsidP="006D75F3">
            <w:pPr>
              <w:tabs>
                <w:tab w:val="left" w:pos="1188"/>
              </w:tabs>
              <w:spacing w:line="20" w:lineRule="atLeast"/>
              <w:rPr>
                <w:sz w:val="20"/>
                <w:szCs w:val="20"/>
                <w:lang w:eastAsia="en-US"/>
              </w:rPr>
            </w:pPr>
          </w:p>
        </w:tc>
      </w:tr>
      <w:tr w:rsidR="007132BF" w:rsidRPr="006D75F3" w14:paraId="13376D3E" w14:textId="77777777" w:rsidTr="0075657A">
        <w:tc>
          <w:tcPr>
            <w:tcW w:w="3539" w:type="dxa"/>
            <w:shd w:val="clear" w:color="auto" w:fill="DBE5F1" w:themeFill="accent1" w:themeFillTint="33"/>
          </w:tcPr>
          <w:p w14:paraId="68A5ECC6" w14:textId="063559A7" w:rsidR="001632FB" w:rsidRPr="006D75F3" w:rsidRDefault="001632FB" w:rsidP="006D75F3">
            <w:pPr>
              <w:tabs>
                <w:tab w:val="left" w:pos="1188"/>
              </w:tabs>
              <w:spacing w:line="20" w:lineRule="atLeast"/>
              <w:rPr>
                <w:b/>
                <w:bCs/>
                <w:sz w:val="20"/>
                <w:szCs w:val="20"/>
                <w:lang w:eastAsia="en-US"/>
              </w:rPr>
            </w:pPr>
            <w:r w:rsidRPr="006D75F3">
              <w:rPr>
                <w:b/>
                <w:bCs/>
                <w:sz w:val="20"/>
                <w:szCs w:val="20"/>
                <w:lang w:eastAsia="en-US"/>
              </w:rPr>
              <w:t xml:space="preserve">Does processing involve any special category data (or sensitive processing under </w:t>
            </w:r>
            <w:r w:rsidR="0062265A" w:rsidRPr="006D75F3">
              <w:rPr>
                <w:b/>
                <w:bCs/>
                <w:sz w:val="20"/>
                <w:szCs w:val="20"/>
                <w:lang w:eastAsia="en-US"/>
              </w:rPr>
              <w:t>P</w:t>
            </w:r>
            <w:r w:rsidRPr="006D75F3">
              <w:rPr>
                <w:b/>
                <w:bCs/>
                <w:sz w:val="20"/>
                <w:szCs w:val="20"/>
                <w:lang w:eastAsia="en-US"/>
              </w:rPr>
              <w:t>art 3 Data Protection Act 2018)?</w:t>
            </w:r>
          </w:p>
          <w:p w14:paraId="1210931D" w14:textId="3EC2C14F" w:rsidR="001632FB" w:rsidRPr="006D75F3" w:rsidRDefault="001632FB" w:rsidP="006D75F3">
            <w:pPr>
              <w:tabs>
                <w:tab w:val="left" w:pos="1188"/>
              </w:tabs>
              <w:spacing w:line="20" w:lineRule="atLeast"/>
              <w:rPr>
                <w:b/>
                <w:bCs/>
                <w:sz w:val="20"/>
                <w:szCs w:val="20"/>
                <w:shd w:val="clear" w:color="auto" w:fill="FFFFFF"/>
              </w:rPr>
            </w:pPr>
          </w:p>
        </w:tc>
        <w:tc>
          <w:tcPr>
            <w:tcW w:w="6917" w:type="dxa"/>
          </w:tcPr>
          <w:p w14:paraId="3FDE601A" w14:textId="77777777" w:rsidR="0075657A" w:rsidRPr="006D75F3" w:rsidRDefault="00000000" w:rsidP="006D75F3">
            <w:pPr>
              <w:tabs>
                <w:tab w:val="left" w:pos="1188"/>
              </w:tabs>
              <w:spacing w:line="20" w:lineRule="atLeast"/>
              <w:rPr>
                <w:sz w:val="20"/>
                <w:szCs w:val="20"/>
                <w:lang w:eastAsia="en-US"/>
              </w:rPr>
            </w:pPr>
            <w:sdt>
              <w:sdtPr>
                <w:rPr>
                  <w:sz w:val="20"/>
                  <w:szCs w:val="20"/>
                  <w:lang w:eastAsia="en-US"/>
                </w:rPr>
                <w:id w:val="375817724"/>
                <w14:checkbox>
                  <w14:checked w14:val="0"/>
                  <w14:checkedState w14:val="2612" w14:font="MS Gothic"/>
                  <w14:uncheckedState w14:val="2610" w14:font="MS Gothic"/>
                </w14:checkbox>
              </w:sdtPr>
              <w:sdtContent>
                <w:r w:rsidR="0075657A" w:rsidRPr="006D75F3">
                  <w:rPr>
                    <w:rFonts w:ascii="Segoe UI Symbol" w:eastAsia="MS Gothic" w:hAnsi="Segoe UI Symbol" w:cs="Segoe UI Symbol"/>
                    <w:sz w:val="20"/>
                    <w:szCs w:val="20"/>
                    <w:lang w:eastAsia="en-US"/>
                  </w:rPr>
                  <w:t>☐</w:t>
                </w:r>
              </w:sdtContent>
            </w:sdt>
            <w:r w:rsidR="0075657A" w:rsidRPr="006D75F3">
              <w:rPr>
                <w:sz w:val="20"/>
                <w:szCs w:val="20"/>
                <w:lang w:eastAsia="en-US"/>
              </w:rPr>
              <w:t xml:space="preserve"> Yes</w:t>
            </w:r>
          </w:p>
          <w:p w14:paraId="20E884B2" w14:textId="511993AB" w:rsidR="007132BF" w:rsidRPr="006D75F3" w:rsidRDefault="00000000" w:rsidP="006D75F3">
            <w:pPr>
              <w:tabs>
                <w:tab w:val="left" w:pos="1188"/>
              </w:tabs>
              <w:spacing w:line="20" w:lineRule="atLeast"/>
              <w:rPr>
                <w:sz w:val="20"/>
                <w:szCs w:val="20"/>
                <w:lang w:eastAsia="en-US"/>
              </w:rPr>
            </w:pPr>
            <w:sdt>
              <w:sdtPr>
                <w:rPr>
                  <w:sz w:val="20"/>
                  <w:szCs w:val="20"/>
                  <w:lang w:eastAsia="en-US"/>
                </w:rPr>
                <w:id w:val="1854147470"/>
                <w14:checkbox>
                  <w14:checked w14:val="0"/>
                  <w14:checkedState w14:val="2612" w14:font="MS Gothic"/>
                  <w14:uncheckedState w14:val="2610" w14:font="MS Gothic"/>
                </w14:checkbox>
              </w:sdtPr>
              <w:sdtContent>
                <w:r w:rsidR="0075657A" w:rsidRPr="006D75F3">
                  <w:rPr>
                    <w:rFonts w:ascii="Segoe UI Symbol" w:eastAsia="MS Gothic" w:hAnsi="Segoe UI Symbol" w:cs="Segoe UI Symbol"/>
                    <w:sz w:val="20"/>
                    <w:szCs w:val="20"/>
                    <w:lang w:eastAsia="en-US"/>
                  </w:rPr>
                  <w:t>☐</w:t>
                </w:r>
              </w:sdtContent>
            </w:sdt>
            <w:r w:rsidR="0075657A" w:rsidRPr="006D75F3">
              <w:rPr>
                <w:sz w:val="20"/>
                <w:szCs w:val="20"/>
                <w:lang w:eastAsia="en-US"/>
              </w:rPr>
              <w:t xml:space="preserve"> No</w:t>
            </w:r>
          </w:p>
        </w:tc>
      </w:tr>
      <w:tr w:rsidR="007132BF" w:rsidRPr="006D75F3" w14:paraId="0A98D050" w14:textId="77777777" w:rsidTr="0075657A">
        <w:tc>
          <w:tcPr>
            <w:tcW w:w="3539" w:type="dxa"/>
            <w:shd w:val="clear" w:color="auto" w:fill="DBE5F1" w:themeFill="accent1" w:themeFillTint="33"/>
          </w:tcPr>
          <w:p w14:paraId="790E0D7E" w14:textId="5D20711B" w:rsidR="001632FB" w:rsidRPr="006D75F3" w:rsidRDefault="001632FB" w:rsidP="006D75F3">
            <w:pPr>
              <w:tabs>
                <w:tab w:val="left" w:pos="1188"/>
              </w:tabs>
              <w:spacing w:line="20" w:lineRule="atLeast"/>
              <w:rPr>
                <w:b/>
                <w:bCs/>
                <w:sz w:val="20"/>
                <w:szCs w:val="20"/>
                <w:lang w:eastAsia="en-US"/>
              </w:rPr>
            </w:pPr>
            <w:r w:rsidRPr="006D75F3">
              <w:rPr>
                <w:b/>
                <w:bCs/>
                <w:sz w:val="20"/>
                <w:szCs w:val="20"/>
                <w:lang w:eastAsia="en-US"/>
              </w:rPr>
              <w:t xml:space="preserve">Are there any specific arrangements for retention / deletion of data? </w:t>
            </w:r>
          </w:p>
          <w:p w14:paraId="26A38E92" w14:textId="77777777" w:rsidR="001632FB" w:rsidRPr="006D75F3" w:rsidRDefault="001632FB" w:rsidP="006D75F3">
            <w:pPr>
              <w:tabs>
                <w:tab w:val="left" w:pos="1188"/>
              </w:tabs>
              <w:spacing w:line="20" w:lineRule="atLeast"/>
              <w:rPr>
                <w:b/>
                <w:bCs/>
                <w:sz w:val="20"/>
                <w:szCs w:val="20"/>
                <w:shd w:val="clear" w:color="auto" w:fill="FFFFFF"/>
              </w:rPr>
            </w:pPr>
          </w:p>
          <w:p w14:paraId="2C17AC66" w14:textId="21EBBBAB" w:rsidR="001632FB" w:rsidRPr="006D75F3" w:rsidRDefault="001632FB" w:rsidP="006D75F3">
            <w:pPr>
              <w:tabs>
                <w:tab w:val="left" w:pos="1188"/>
              </w:tabs>
              <w:spacing w:line="20" w:lineRule="atLeast"/>
              <w:rPr>
                <w:b/>
                <w:bCs/>
                <w:sz w:val="20"/>
                <w:szCs w:val="20"/>
                <w:shd w:val="clear" w:color="auto" w:fill="FFFFFF"/>
              </w:rPr>
            </w:pPr>
          </w:p>
        </w:tc>
        <w:tc>
          <w:tcPr>
            <w:tcW w:w="6917" w:type="dxa"/>
          </w:tcPr>
          <w:p w14:paraId="233D880B" w14:textId="77777777" w:rsidR="007132BF" w:rsidRPr="006D75F3" w:rsidRDefault="007132BF" w:rsidP="006D75F3">
            <w:pPr>
              <w:tabs>
                <w:tab w:val="left" w:pos="1188"/>
              </w:tabs>
              <w:spacing w:line="20" w:lineRule="atLeast"/>
              <w:rPr>
                <w:sz w:val="20"/>
                <w:szCs w:val="20"/>
                <w:lang w:eastAsia="en-US"/>
              </w:rPr>
            </w:pPr>
          </w:p>
        </w:tc>
      </w:tr>
      <w:tr w:rsidR="007132BF" w:rsidRPr="006D75F3" w14:paraId="310F7BE3" w14:textId="77777777" w:rsidTr="0075657A">
        <w:tc>
          <w:tcPr>
            <w:tcW w:w="3539" w:type="dxa"/>
            <w:shd w:val="clear" w:color="auto" w:fill="DBE5F1" w:themeFill="accent1" w:themeFillTint="33"/>
          </w:tcPr>
          <w:p w14:paraId="56A757DF" w14:textId="20C6DCA1" w:rsidR="001632FB" w:rsidRPr="006D75F3" w:rsidRDefault="001632FB" w:rsidP="006D75F3">
            <w:pPr>
              <w:tabs>
                <w:tab w:val="left" w:pos="1188"/>
              </w:tabs>
              <w:spacing w:line="20" w:lineRule="atLeast"/>
              <w:rPr>
                <w:b/>
                <w:bCs/>
                <w:sz w:val="20"/>
                <w:szCs w:val="20"/>
                <w:lang w:eastAsia="en-US"/>
              </w:rPr>
            </w:pPr>
            <w:r w:rsidRPr="006D75F3">
              <w:rPr>
                <w:b/>
                <w:bCs/>
                <w:sz w:val="20"/>
                <w:szCs w:val="20"/>
                <w:lang w:eastAsia="en-US"/>
              </w:rPr>
              <w:t xml:space="preserve">Are there any circumstances in the proposed sharing that might result in a risk to individuals? </w:t>
            </w:r>
          </w:p>
          <w:p w14:paraId="2AEA086C" w14:textId="00447FC4" w:rsidR="001632FB" w:rsidRPr="006D75F3" w:rsidRDefault="001632FB" w:rsidP="006D75F3">
            <w:pPr>
              <w:tabs>
                <w:tab w:val="left" w:pos="1188"/>
              </w:tabs>
              <w:spacing w:line="20" w:lineRule="atLeast"/>
              <w:rPr>
                <w:b/>
                <w:bCs/>
                <w:sz w:val="20"/>
                <w:szCs w:val="20"/>
                <w:shd w:val="clear" w:color="auto" w:fill="FFFFFF"/>
              </w:rPr>
            </w:pPr>
          </w:p>
        </w:tc>
        <w:tc>
          <w:tcPr>
            <w:tcW w:w="6917" w:type="dxa"/>
          </w:tcPr>
          <w:p w14:paraId="6F51D2C3" w14:textId="77777777" w:rsidR="007132BF" w:rsidRPr="006D75F3" w:rsidRDefault="007132BF" w:rsidP="006D75F3">
            <w:pPr>
              <w:tabs>
                <w:tab w:val="left" w:pos="1188"/>
              </w:tabs>
              <w:spacing w:line="20" w:lineRule="atLeast"/>
              <w:rPr>
                <w:sz w:val="20"/>
                <w:szCs w:val="20"/>
                <w:lang w:eastAsia="en-US"/>
              </w:rPr>
            </w:pPr>
          </w:p>
        </w:tc>
      </w:tr>
      <w:tr w:rsidR="007132BF" w:rsidRPr="006D75F3" w14:paraId="5F2744F1" w14:textId="77777777" w:rsidTr="0075657A">
        <w:tc>
          <w:tcPr>
            <w:tcW w:w="3539" w:type="dxa"/>
            <w:shd w:val="clear" w:color="auto" w:fill="DBE5F1" w:themeFill="accent1" w:themeFillTint="33"/>
          </w:tcPr>
          <w:p w14:paraId="494A5AF1" w14:textId="77777777" w:rsidR="007132BF" w:rsidRPr="006D75F3" w:rsidRDefault="001632FB" w:rsidP="006D75F3">
            <w:pPr>
              <w:tabs>
                <w:tab w:val="left" w:pos="1188"/>
              </w:tabs>
              <w:spacing w:line="20" w:lineRule="atLeast"/>
              <w:rPr>
                <w:b/>
                <w:bCs/>
                <w:sz w:val="20"/>
                <w:szCs w:val="20"/>
                <w:lang w:eastAsia="en-US"/>
              </w:rPr>
            </w:pPr>
            <w:r w:rsidRPr="006D75F3">
              <w:rPr>
                <w:b/>
                <w:bCs/>
                <w:sz w:val="20"/>
                <w:szCs w:val="20"/>
                <w:lang w:eastAsia="en-US"/>
              </w:rPr>
              <w:t>Date(s) provision of data is required:</w:t>
            </w:r>
          </w:p>
          <w:p w14:paraId="545FAA26" w14:textId="77777777" w:rsidR="001632FB" w:rsidRPr="006D75F3" w:rsidRDefault="001632FB" w:rsidP="006D75F3">
            <w:pPr>
              <w:tabs>
                <w:tab w:val="left" w:pos="1188"/>
              </w:tabs>
              <w:spacing w:line="20" w:lineRule="atLeast"/>
              <w:rPr>
                <w:b/>
                <w:bCs/>
                <w:sz w:val="20"/>
                <w:szCs w:val="20"/>
                <w:shd w:val="clear" w:color="auto" w:fill="FFFFFF"/>
              </w:rPr>
            </w:pPr>
          </w:p>
          <w:p w14:paraId="2EBA1F94" w14:textId="080ACEF4" w:rsidR="001632FB" w:rsidRPr="006D75F3" w:rsidRDefault="001632FB" w:rsidP="006D75F3">
            <w:pPr>
              <w:tabs>
                <w:tab w:val="left" w:pos="1188"/>
              </w:tabs>
              <w:spacing w:line="20" w:lineRule="atLeast"/>
              <w:rPr>
                <w:b/>
                <w:bCs/>
                <w:sz w:val="20"/>
                <w:szCs w:val="20"/>
                <w:shd w:val="clear" w:color="auto" w:fill="FFFFFF"/>
              </w:rPr>
            </w:pPr>
          </w:p>
        </w:tc>
        <w:tc>
          <w:tcPr>
            <w:tcW w:w="6917" w:type="dxa"/>
          </w:tcPr>
          <w:p w14:paraId="355A2AC3" w14:textId="77777777" w:rsidR="007132BF" w:rsidRPr="006D75F3" w:rsidRDefault="007132BF" w:rsidP="006D75F3">
            <w:pPr>
              <w:tabs>
                <w:tab w:val="left" w:pos="1188"/>
              </w:tabs>
              <w:spacing w:line="20" w:lineRule="atLeast"/>
              <w:rPr>
                <w:sz w:val="20"/>
                <w:szCs w:val="20"/>
                <w:lang w:eastAsia="en-US"/>
              </w:rPr>
            </w:pPr>
          </w:p>
        </w:tc>
      </w:tr>
    </w:tbl>
    <w:p w14:paraId="4F55822A" w14:textId="77777777" w:rsidR="007132BF" w:rsidRPr="006D75F3" w:rsidRDefault="007132BF" w:rsidP="006D75F3">
      <w:pPr>
        <w:tabs>
          <w:tab w:val="left" w:pos="1188"/>
        </w:tabs>
        <w:spacing w:after="0" w:line="20" w:lineRule="atLeast"/>
        <w:rPr>
          <w:sz w:val="20"/>
          <w:szCs w:val="20"/>
          <w:lang w:eastAsia="en-US"/>
        </w:rPr>
      </w:pPr>
    </w:p>
    <w:p w14:paraId="3D8EC3DE" w14:textId="77777777" w:rsidR="000750D6" w:rsidRDefault="000750D6" w:rsidP="006D75F3">
      <w:pPr>
        <w:spacing w:after="0" w:line="20" w:lineRule="atLeast"/>
        <w:jc w:val="center"/>
        <w:rPr>
          <w:b/>
          <w:bCs/>
          <w:sz w:val="20"/>
          <w:szCs w:val="20"/>
        </w:rPr>
      </w:pPr>
    </w:p>
    <w:p w14:paraId="35F11D39" w14:textId="77777777" w:rsidR="006D75F3" w:rsidRDefault="006D75F3" w:rsidP="006D75F3">
      <w:pPr>
        <w:spacing w:after="0" w:line="20" w:lineRule="atLeast"/>
        <w:jc w:val="center"/>
        <w:rPr>
          <w:b/>
          <w:bCs/>
          <w:sz w:val="20"/>
          <w:szCs w:val="20"/>
        </w:rPr>
      </w:pPr>
    </w:p>
    <w:p w14:paraId="1C0B0178" w14:textId="77777777" w:rsidR="006D75F3" w:rsidRDefault="006D75F3" w:rsidP="006D75F3">
      <w:pPr>
        <w:spacing w:after="0" w:line="20" w:lineRule="atLeast"/>
        <w:jc w:val="center"/>
        <w:rPr>
          <w:b/>
          <w:bCs/>
          <w:sz w:val="20"/>
          <w:szCs w:val="20"/>
        </w:rPr>
      </w:pPr>
    </w:p>
    <w:p w14:paraId="67AF5347" w14:textId="77777777" w:rsidR="006D75F3" w:rsidRDefault="006D75F3" w:rsidP="006D75F3">
      <w:pPr>
        <w:spacing w:after="0" w:line="20" w:lineRule="atLeast"/>
        <w:jc w:val="center"/>
        <w:rPr>
          <w:b/>
          <w:bCs/>
          <w:sz w:val="20"/>
          <w:szCs w:val="20"/>
        </w:rPr>
      </w:pPr>
    </w:p>
    <w:p w14:paraId="369A9BF8" w14:textId="77777777" w:rsidR="006D75F3" w:rsidRDefault="006D75F3" w:rsidP="006D75F3">
      <w:pPr>
        <w:spacing w:after="0" w:line="20" w:lineRule="atLeast"/>
        <w:jc w:val="center"/>
        <w:rPr>
          <w:b/>
          <w:bCs/>
          <w:sz w:val="20"/>
          <w:szCs w:val="20"/>
        </w:rPr>
      </w:pPr>
    </w:p>
    <w:p w14:paraId="12FF1CB9" w14:textId="77777777" w:rsidR="006D75F3" w:rsidRDefault="006D75F3" w:rsidP="006D75F3">
      <w:pPr>
        <w:spacing w:after="0" w:line="20" w:lineRule="atLeast"/>
        <w:jc w:val="center"/>
        <w:rPr>
          <w:b/>
          <w:bCs/>
          <w:sz w:val="20"/>
          <w:szCs w:val="20"/>
        </w:rPr>
      </w:pPr>
    </w:p>
    <w:p w14:paraId="1E2ACB02" w14:textId="77777777" w:rsidR="006D75F3" w:rsidRDefault="006D75F3" w:rsidP="006D75F3">
      <w:pPr>
        <w:spacing w:after="0" w:line="20" w:lineRule="atLeast"/>
        <w:jc w:val="center"/>
        <w:rPr>
          <w:b/>
          <w:bCs/>
          <w:sz w:val="20"/>
          <w:szCs w:val="20"/>
        </w:rPr>
      </w:pPr>
    </w:p>
    <w:p w14:paraId="1BC422DB" w14:textId="77777777" w:rsidR="006D75F3" w:rsidRPr="006D75F3" w:rsidRDefault="006D75F3" w:rsidP="006D75F3">
      <w:pPr>
        <w:spacing w:after="0" w:line="20" w:lineRule="atLeast"/>
        <w:jc w:val="center"/>
        <w:rPr>
          <w:b/>
          <w:bCs/>
          <w:sz w:val="20"/>
          <w:szCs w:val="20"/>
        </w:rPr>
      </w:pPr>
    </w:p>
    <w:p w14:paraId="51FEAEAD" w14:textId="3280036E" w:rsidR="006D75F3" w:rsidRPr="006D75F3" w:rsidRDefault="006D75F3" w:rsidP="006D75F3">
      <w:pPr>
        <w:spacing w:after="0" w:line="20" w:lineRule="atLeast"/>
        <w:jc w:val="center"/>
        <w:rPr>
          <w:b/>
          <w:bCs/>
          <w:sz w:val="20"/>
          <w:szCs w:val="20"/>
        </w:rPr>
      </w:pPr>
      <w:r w:rsidRPr="006D75F3">
        <w:rPr>
          <w:b/>
          <w:bCs/>
          <w:sz w:val="20"/>
          <w:szCs w:val="20"/>
        </w:rPr>
        <w:lastRenderedPageBreak/>
        <w:t>SCHEDULE 6</w:t>
      </w:r>
    </w:p>
    <w:p w14:paraId="50641E79" w14:textId="21DDB893" w:rsidR="006D75F3" w:rsidRPr="006D75F3" w:rsidRDefault="006D75F3" w:rsidP="006D75F3">
      <w:pPr>
        <w:spacing w:after="0" w:line="20" w:lineRule="atLeast"/>
        <w:jc w:val="center"/>
        <w:rPr>
          <w:b/>
          <w:bCs/>
          <w:sz w:val="20"/>
          <w:szCs w:val="20"/>
        </w:rPr>
      </w:pPr>
      <w:r w:rsidRPr="006D75F3">
        <w:rPr>
          <w:b/>
          <w:bCs/>
          <w:sz w:val="20"/>
          <w:szCs w:val="20"/>
        </w:rPr>
        <w:t>DATA SHARING DECISION FORM</w:t>
      </w:r>
    </w:p>
    <w:p w14:paraId="159156BA" w14:textId="77777777" w:rsidR="006D75F3" w:rsidRDefault="006D75F3" w:rsidP="006D75F3">
      <w:pPr>
        <w:spacing w:after="0" w:line="20" w:lineRule="atLeast"/>
        <w:rPr>
          <w:sz w:val="20"/>
          <w:szCs w:val="20"/>
        </w:rPr>
      </w:pPr>
    </w:p>
    <w:p w14:paraId="536F55A6" w14:textId="72054CE7" w:rsidR="000750D6" w:rsidRPr="006D75F3" w:rsidRDefault="000750D6" w:rsidP="006D75F3">
      <w:pPr>
        <w:spacing w:after="0" w:line="20" w:lineRule="atLeast"/>
        <w:rPr>
          <w:sz w:val="20"/>
          <w:szCs w:val="20"/>
        </w:rPr>
      </w:pPr>
      <w:r w:rsidRPr="006D75F3">
        <w:rPr>
          <w:sz w:val="20"/>
          <w:szCs w:val="20"/>
        </w:rPr>
        <w:t>For use by the party taking the decision to share data</w:t>
      </w:r>
    </w:p>
    <w:p w14:paraId="30DE287E" w14:textId="77777777" w:rsidR="000750D6" w:rsidRPr="006D75F3" w:rsidRDefault="000750D6" w:rsidP="006D75F3">
      <w:pPr>
        <w:spacing w:after="0" w:line="20" w:lineRule="atLeast"/>
        <w:rPr>
          <w:sz w:val="20"/>
          <w:szCs w:val="20"/>
        </w:rPr>
      </w:pPr>
    </w:p>
    <w:tbl>
      <w:tblPr>
        <w:tblStyle w:val="TableGrid"/>
        <w:tblW w:w="0" w:type="auto"/>
        <w:tblLook w:val="04A0" w:firstRow="1" w:lastRow="0" w:firstColumn="1" w:lastColumn="0" w:noHBand="0" w:noVBand="1"/>
      </w:tblPr>
      <w:tblGrid>
        <w:gridCol w:w="3823"/>
        <w:gridCol w:w="6633"/>
      </w:tblGrid>
      <w:tr w:rsidR="000750D6" w:rsidRPr="006D75F3" w14:paraId="5AC4AB5B" w14:textId="77777777" w:rsidTr="00260EAB">
        <w:tc>
          <w:tcPr>
            <w:tcW w:w="3823" w:type="dxa"/>
            <w:shd w:val="clear" w:color="auto" w:fill="DBE5F1" w:themeFill="accent1" w:themeFillTint="33"/>
          </w:tcPr>
          <w:p w14:paraId="1BB98CD5" w14:textId="77777777" w:rsidR="000750D6" w:rsidRPr="006D75F3" w:rsidRDefault="000750D6" w:rsidP="006D75F3">
            <w:pPr>
              <w:spacing w:line="20" w:lineRule="atLeast"/>
              <w:rPr>
                <w:b/>
                <w:bCs/>
                <w:sz w:val="20"/>
                <w:szCs w:val="20"/>
              </w:rPr>
            </w:pPr>
            <w:r w:rsidRPr="006D75F3">
              <w:rPr>
                <w:b/>
                <w:bCs/>
                <w:sz w:val="20"/>
                <w:szCs w:val="20"/>
              </w:rPr>
              <w:t>Name of organisation receiving request to share data:</w:t>
            </w:r>
          </w:p>
          <w:p w14:paraId="3723B6B5" w14:textId="44FAEC33" w:rsidR="00260EAB" w:rsidRPr="006D75F3" w:rsidRDefault="00260EAB" w:rsidP="006D75F3">
            <w:pPr>
              <w:spacing w:line="20" w:lineRule="atLeast"/>
              <w:rPr>
                <w:b/>
                <w:bCs/>
                <w:sz w:val="20"/>
                <w:szCs w:val="20"/>
              </w:rPr>
            </w:pPr>
          </w:p>
        </w:tc>
        <w:tc>
          <w:tcPr>
            <w:tcW w:w="6633" w:type="dxa"/>
          </w:tcPr>
          <w:p w14:paraId="70251C89" w14:textId="77777777" w:rsidR="000750D6" w:rsidRPr="006D75F3" w:rsidRDefault="000750D6" w:rsidP="006D75F3">
            <w:pPr>
              <w:spacing w:line="20" w:lineRule="atLeast"/>
              <w:rPr>
                <w:sz w:val="20"/>
                <w:szCs w:val="20"/>
              </w:rPr>
            </w:pPr>
          </w:p>
        </w:tc>
      </w:tr>
      <w:tr w:rsidR="000750D6" w:rsidRPr="006D75F3" w14:paraId="4F924025" w14:textId="77777777" w:rsidTr="00260EAB">
        <w:tc>
          <w:tcPr>
            <w:tcW w:w="3823" w:type="dxa"/>
            <w:shd w:val="clear" w:color="auto" w:fill="DBE5F1" w:themeFill="accent1" w:themeFillTint="33"/>
          </w:tcPr>
          <w:p w14:paraId="0DFDE9FF" w14:textId="77777777" w:rsidR="000750D6" w:rsidRPr="006D75F3" w:rsidRDefault="000750D6" w:rsidP="006D75F3">
            <w:pPr>
              <w:spacing w:line="20" w:lineRule="atLeast"/>
              <w:rPr>
                <w:b/>
                <w:bCs/>
                <w:sz w:val="20"/>
                <w:szCs w:val="20"/>
              </w:rPr>
            </w:pPr>
            <w:r w:rsidRPr="006D75F3">
              <w:rPr>
                <w:b/>
                <w:bCs/>
                <w:sz w:val="20"/>
                <w:szCs w:val="20"/>
              </w:rPr>
              <w:t>Name of organisation requesting data:</w:t>
            </w:r>
          </w:p>
          <w:p w14:paraId="45EE9800" w14:textId="310D7751" w:rsidR="00260EAB" w:rsidRPr="006D75F3" w:rsidRDefault="00260EAB" w:rsidP="006D75F3">
            <w:pPr>
              <w:spacing w:line="20" w:lineRule="atLeast"/>
              <w:rPr>
                <w:b/>
                <w:bCs/>
                <w:sz w:val="20"/>
                <w:szCs w:val="20"/>
              </w:rPr>
            </w:pPr>
          </w:p>
        </w:tc>
        <w:tc>
          <w:tcPr>
            <w:tcW w:w="6633" w:type="dxa"/>
          </w:tcPr>
          <w:p w14:paraId="6D4A1EF3" w14:textId="77777777" w:rsidR="000750D6" w:rsidRPr="006D75F3" w:rsidRDefault="000750D6" w:rsidP="006D75F3">
            <w:pPr>
              <w:spacing w:line="20" w:lineRule="atLeast"/>
              <w:rPr>
                <w:sz w:val="20"/>
                <w:szCs w:val="20"/>
              </w:rPr>
            </w:pPr>
          </w:p>
        </w:tc>
      </w:tr>
      <w:tr w:rsidR="000750D6" w:rsidRPr="006D75F3" w14:paraId="6B9403B0" w14:textId="77777777" w:rsidTr="00260EAB">
        <w:tc>
          <w:tcPr>
            <w:tcW w:w="3823" w:type="dxa"/>
            <w:shd w:val="clear" w:color="auto" w:fill="DBE5F1" w:themeFill="accent1" w:themeFillTint="33"/>
          </w:tcPr>
          <w:p w14:paraId="51C75310" w14:textId="77777777" w:rsidR="000750D6" w:rsidRPr="006D75F3" w:rsidRDefault="00FD598C" w:rsidP="006D75F3">
            <w:pPr>
              <w:spacing w:line="20" w:lineRule="atLeast"/>
              <w:rPr>
                <w:b/>
                <w:bCs/>
                <w:sz w:val="20"/>
                <w:szCs w:val="20"/>
              </w:rPr>
            </w:pPr>
            <w:r w:rsidRPr="006D75F3">
              <w:rPr>
                <w:b/>
                <w:bCs/>
                <w:sz w:val="20"/>
                <w:szCs w:val="20"/>
              </w:rPr>
              <w:t>Name and position of person requesting data:</w:t>
            </w:r>
          </w:p>
          <w:p w14:paraId="38B3ACA0" w14:textId="317D330C" w:rsidR="00260EAB" w:rsidRPr="006D75F3" w:rsidRDefault="00260EAB" w:rsidP="006D75F3">
            <w:pPr>
              <w:spacing w:line="20" w:lineRule="atLeast"/>
              <w:rPr>
                <w:b/>
                <w:bCs/>
                <w:sz w:val="20"/>
                <w:szCs w:val="20"/>
              </w:rPr>
            </w:pPr>
          </w:p>
        </w:tc>
        <w:tc>
          <w:tcPr>
            <w:tcW w:w="6633" w:type="dxa"/>
          </w:tcPr>
          <w:p w14:paraId="5FF24027" w14:textId="77777777" w:rsidR="000750D6" w:rsidRPr="006D75F3" w:rsidRDefault="000750D6" w:rsidP="006D75F3">
            <w:pPr>
              <w:spacing w:line="20" w:lineRule="atLeast"/>
              <w:rPr>
                <w:sz w:val="20"/>
                <w:szCs w:val="20"/>
              </w:rPr>
            </w:pPr>
          </w:p>
        </w:tc>
      </w:tr>
      <w:tr w:rsidR="000750D6" w:rsidRPr="006D75F3" w14:paraId="1F28353C" w14:textId="77777777" w:rsidTr="00260EAB">
        <w:tc>
          <w:tcPr>
            <w:tcW w:w="3823" w:type="dxa"/>
            <w:shd w:val="clear" w:color="auto" w:fill="DBE5F1" w:themeFill="accent1" w:themeFillTint="33"/>
          </w:tcPr>
          <w:p w14:paraId="7EA2BCE5" w14:textId="77777777" w:rsidR="000750D6" w:rsidRPr="006D75F3" w:rsidRDefault="00FD598C" w:rsidP="006D75F3">
            <w:pPr>
              <w:spacing w:line="20" w:lineRule="atLeast"/>
              <w:rPr>
                <w:b/>
                <w:bCs/>
                <w:sz w:val="20"/>
                <w:szCs w:val="20"/>
              </w:rPr>
            </w:pPr>
            <w:r w:rsidRPr="006D75F3">
              <w:rPr>
                <w:b/>
                <w:bCs/>
                <w:sz w:val="20"/>
                <w:szCs w:val="20"/>
              </w:rPr>
              <w:t>Date request received:</w:t>
            </w:r>
          </w:p>
          <w:p w14:paraId="285E69E1" w14:textId="73BE22E8" w:rsidR="00260EAB" w:rsidRPr="006D75F3" w:rsidRDefault="00260EAB" w:rsidP="006D75F3">
            <w:pPr>
              <w:spacing w:line="20" w:lineRule="atLeast"/>
              <w:rPr>
                <w:b/>
                <w:bCs/>
                <w:sz w:val="20"/>
                <w:szCs w:val="20"/>
              </w:rPr>
            </w:pPr>
          </w:p>
        </w:tc>
        <w:tc>
          <w:tcPr>
            <w:tcW w:w="6633" w:type="dxa"/>
          </w:tcPr>
          <w:p w14:paraId="4910A8CA" w14:textId="77777777" w:rsidR="000750D6" w:rsidRPr="006D75F3" w:rsidRDefault="000750D6" w:rsidP="006D75F3">
            <w:pPr>
              <w:spacing w:line="20" w:lineRule="atLeast"/>
              <w:rPr>
                <w:sz w:val="20"/>
                <w:szCs w:val="20"/>
              </w:rPr>
            </w:pPr>
          </w:p>
        </w:tc>
      </w:tr>
      <w:tr w:rsidR="000750D6" w:rsidRPr="006D75F3" w14:paraId="39541DA2" w14:textId="77777777" w:rsidTr="00260EAB">
        <w:tc>
          <w:tcPr>
            <w:tcW w:w="3823" w:type="dxa"/>
            <w:shd w:val="clear" w:color="auto" w:fill="DBE5F1" w:themeFill="accent1" w:themeFillTint="33"/>
          </w:tcPr>
          <w:p w14:paraId="58BB93D0" w14:textId="77777777" w:rsidR="000750D6" w:rsidRPr="006D75F3" w:rsidRDefault="00FD598C" w:rsidP="006D75F3">
            <w:pPr>
              <w:spacing w:line="20" w:lineRule="atLeast"/>
              <w:rPr>
                <w:b/>
                <w:bCs/>
                <w:sz w:val="20"/>
                <w:szCs w:val="20"/>
              </w:rPr>
            </w:pPr>
            <w:r w:rsidRPr="006D75F3">
              <w:rPr>
                <w:b/>
                <w:bCs/>
                <w:sz w:val="20"/>
                <w:szCs w:val="20"/>
              </w:rPr>
              <w:t>Description of data requested:</w:t>
            </w:r>
          </w:p>
          <w:p w14:paraId="648F0F31" w14:textId="44A7377A" w:rsidR="00260EAB" w:rsidRPr="006D75F3" w:rsidRDefault="00260EAB" w:rsidP="006D75F3">
            <w:pPr>
              <w:spacing w:line="20" w:lineRule="atLeast"/>
              <w:rPr>
                <w:b/>
                <w:bCs/>
                <w:sz w:val="20"/>
                <w:szCs w:val="20"/>
              </w:rPr>
            </w:pPr>
          </w:p>
        </w:tc>
        <w:tc>
          <w:tcPr>
            <w:tcW w:w="6633" w:type="dxa"/>
          </w:tcPr>
          <w:p w14:paraId="5F46C72E" w14:textId="77777777" w:rsidR="000750D6" w:rsidRPr="006D75F3" w:rsidRDefault="000750D6" w:rsidP="006D75F3">
            <w:pPr>
              <w:spacing w:line="20" w:lineRule="atLeast"/>
              <w:rPr>
                <w:sz w:val="20"/>
                <w:szCs w:val="20"/>
              </w:rPr>
            </w:pPr>
          </w:p>
        </w:tc>
      </w:tr>
      <w:tr w:rsidR="000750D6" w:rsidRPr="006D75F3" w14:paraId="0B6289C6" w14:textId="77777777" w:rsidTr="00260EAB">
        <w:tc>
          <w:tcPr>
            <w:tcW w:w="3823" w:type="dxa"/>
            <w:shd w:val="clear" w:color="auto" w:fill="DBE5F1" w:themeFill="accent1" w:themeFillTint="33"/>
          </w:tcPr>
          <w:p w14:paraId="6B01953C" w14:textId="5B861BF5" w:rsidR="000750D6" w:rsidRPr="006D75F3" w:rsidRDefault="00FD598C" w:rsidP="006D75F3">
            <w:pPr>
              <w:spacing w:line="20" w:lineRule="atLeast"/>
              <w:rPr>
                <w:b/>
                <w:bCs/>
                <w:sz w:val="20"/>
                <w:szCs w:val="20"/>
              </w:rPr>
            </w:pPr>
            <w:r w:rsidRPr="006D75F3">
              <w:rPr>
                <w:b/>
                <w:bCs/>
                <w:sz w:val="20"/>
                <w:szCs w:val="20"/>
              </w:rPr>
              <w:t>Data controller relationship:</w:t>
            </w:r>
          </w:p>
        </w:tc>
        <w:tc>
          <w:tcPr>
            <w:tcW w:w="6633" w:type="dxa"/>
          </w:tcPr>
          <w:p w14:paraId="436BEDE1" w14:textId="77777777" w:rsidR="00FD598C" w:rsidRPr="006D75F3" w:rsidRDefault="00000000" w:rsidP="006D75F3">
            <w:pPr>
              <w:tabs>
                <w:tab w:val="left" w:pos="1188"/>
              </w:tabs>
              <w:spacing w:line="20" w:lineRule="atLeast"/>
              <w:rPr>
                <w:sz w:val="20"/>
                <w:szCs w:val="20"/>
                <w:lang w:eastAsia="en-US"/>
              </w:rPr>
            </w:pPr>
            <w:sdt>
              <w:sdtPr>
                <w:rPr>
                  <w:sz w:val="20"/>
                  <w:szCs w:val="20"/>
                  <w:lang w:eastAsia="en-US"/>
                </w:rPr>
                <w:id w:val="1119033431"/>
                <w14:checkbox>
                  <w14:checked w14:val="0"/>
                  <w14:checkedState w14:val="2612" w14:font="MS Gothic"/>
                  <w14:uncheckedState w14:val="2610" w14:font="MS Gothic"/>
                </w14:checkbox>
              </w:sdtPr>
              <w:sdtContent>
                <w:r w:rsidR="00FD598C" w:rsidRPr="006D75F3">
                  <w:rPr>
                    <w:rFonts w:ascii="Segoe UI Symbol" w:eastAsia="MS Gothic" w:hAnsi="Segoe UI Symbol" w:cs="Segoe UI Symbol"/>
                    <w:sz w:val="20"/>
                    <w:szCs w:val="20"/>
                    <w:lang w:eastAsia="en-US"/>
                  </w:rPr>
                  <w:t>☐</w:t>
                </w:r>
              </w:sdtContent>
            </w:sdt>
            <w:r w:rsidR="00FD598C" w:rsidRPr="006D75F3">
              <w:rPr>
                <w:sz w:val="20"/>
                <w:szCs w:val="20"/>
                <w:lang w:eastAsia="en-US"/>
              </w:rPr>
              <w:t xml:space="preserve"> Joint</w:t>
            </w:r>
          </w:p>
          <w:p w14:paraId="5857898F" w14:textId="77777777" w:rsidR="000750D6" w:rsidRPr="006D75F3" w:rsidRDefault="00000000" w:rsidP="006D75F3">
            <w:pPr>
              <w:spacing w:line="20" w:lineRule="atLeast"/>
              <w:rPr>
                <w:sz w:val="20"/>
                <w:szCs w:val="20"/>
                <w:lang w:eastAsia="en-US"/>
              </w:rPr>
            </w:pPr>
            <w:sdt>
              <w:sdtPr>
                <w:rPr>
                  <w:sz w:val="20"/>
                  <w:szCs w:val="20"/>
                  <w:lang w:eastAsia="en-US"/>
                </w:rPr>
                <w:id w:val="21287630"/>
                <w14:checkbox>
                  <w14:checked w14:val="0"/>
                  <w14:checkedState w14:val="2612" w14:font="MS Gothic"/>
                  <w14:uncheckedState w14:val="2610" w14:font="MS Gothic"/>
                </w14:checkbox>
              </w:sdtPr>
              <w:sdtContent>
                <w:r w:rsidR="00FD598C" w:rsidRPr="006D75F3">
                  <w:rPr>
                    <w:rFonts w:ascii="Segoe UI Symbol" w:eastAsia="MS Gothic" w:hAnsi="Segoe UI Symbol" w:cs="Segoe UI Symbol"/>
                    <w:sz w:val="20"/>
                    <w:szCs w:val="20"/>
                    <w:lang w:eastAsia="en-US"/>
                  </w:rPr>
                  <w:t>☐</w:t>
                </w:r>
              </w:sdtContent>
            </w:sdt>
            <w:r w:rsidR="00FD598C" w:rsidRPr="006D75F3">
              <w:rPr>
                <w:sz w:val="20"/>
                <w:szCs w:val="20"/>
                <w:lang w:eastAsia="en-US"/>
              </w:rPr>
              <w:t xml:space="preserve"> Separate</w:t>
            </w:r>
          </w:p>
          <w:p w14:paraId="36C70048" w14:textId="1E91A556" w:rsidR="00260EAB" w:rsidRPr="006D75F3" w:rsidRDefault="00260EAB" w:rsidP="006D75F3">
            <w:pPr>
              <w:spacing w:line="20" w:lineRule="atLeast"/>
              <w:rPr>
                <w:sz w:val="20"/>
                <w:szCs w:val="20"/>
              </w:rPr>
            </w:pPr>
          </w:p>
        </w:tc>
      </w:tr>
      <w:tr w:rsidR="000750D6" w:rsidRPr="006D75F3" w14:paraId="3C11009D" w14:textId="77777777" w:rsidTr="00260EAB">
        <w:tc>
          <w:tcPr>
            <w:tcW w:w="3823" w:type="dxa"/>
            <w:shd w:val="clear" w:color="auto" w:fill="DBE5F1" w:themeFill="accent1" w:themeFillTint="33"/>
          </w:tcPr>
          <w:p w14:paraId="5E4C2C92" w14:textId="2E2EFBFE" w:rsidR="000750D6" w:rsidRPr="006D75F3" w:rsidRDefault="00FD598C" w:rsidP="006D75F3">
            <w:pPr>
              <w:spacing w:line="20" w:lineRule="atLeast"/>
              <w:rPr>
                <w:b/>
                <w:bCs/>
                <w:sz w:val="20"/>
                <w:szCs w:val="20"/>
              </w:rPr>
            </w:pPr>
            <w:r w:rsidRPr="006D75F3">
              <w:rPr>
                <w:b/>
                <w:bCs/>
                <w:sz w:val="20"/>
                <w:szCs w:val="20"/>
              </w:rPr>
              <w:t>Will we have a data sharing agreement in place?</w:t>
            </w:r>
          </w:p>
        </w:tc>
        <w:tc>
          <w:tcPr>
            <w:tcW w:w="6633" w:type="dxa"/>
          </w:tcPr>
          <w:p w14:paraId="1FA115A8" w14:textId="77777777" w:rsidR="00FD598C" w:rsidRPr="006D75F3" w:rsidRDefault="00000000" w:rsidP="006D75F3">
            <w:pPr>
              <w:tabs>
                <w:tab w:val="left" w:pos="1188"/>
              </w:tabs>
              <w:spacing w:line="20" w:lineRule="atLeast"/>
              <w:rPr>
                <w:sz w:val="20"/>
                <w:szCs w:val="20"/>
                <w:lang w:eastAsia="en-US"/>
              </w:rPr>
            </w:pPr>
            <w:sdt>
              <w:sdtPr>
                <w:rPr>
                  <w:sz w:val="20"/>
                  <w:szCs w:val="20"/>
                  <w:lang w:eastAsia="en-US"/>
                </w:rPr>
                <w:id w:val="-1160923079"/>
                <w14:checkbox>
                  <w14:checked w14:val="0"/>
                  <w14:checkedState w14:val="2612" w14:font="MS Gothic"/>
                  <w14:uncheckedState w14:val="2610" w14:font="MS Gothic"/>
                </w14:checkbox>
              </w:sdtPr>
              <w:sdtContent>
                <w:r w:rsidR="00FD598C" w:rsidRPr="006D75F3">
                  <w:rPr>
                    <w:rFonts w:ascii="Segoe UI Symbol" w:eastAsia="MS Gothic" w:hAnsi="Segoe UI Symbol" w:cs="Segoe UI Symbol"/>
                    <w:sz w:val="20"/>
                    <w:szCs w:val="20"/>
                    <w:lang w:eastAsia="en-US"/>
                  </w:rPr>
                  <w:t>☐</w:t>
                </w:r>
              </w:sdtContent>
            </w:sdt>
            <w:r w:rsidR="00FD598C" w:rsidRPr="006D75F3">
              <w:rPr>
                <w:sz w:val="20"/>
                <w:szCs w:val="20"/>
                <w:lang w:eastAsia="en-US"/>
              </w:rPr>
              <w:t xml:space="preserve"> Yes</w:t>
            </w:r>
          </w:p>
          <w:p w14:paraId="4572203B" w14:textId="77777777" w:rsidR="000750D6" w:rsidRPr="006D75F3" w:rsidRDefault="00000000" w:rsidP="006D75F3">
            <w:pPr>
              <w:spacing w:line="20" w:lineRule="atLeast"/>
              <w:rPr>
                <w:sz w:val="20"/>
                <w:szCs w:val="20"/>
                <w:lang w:eastAsia="en-US"/>
              </w:rPr>
            </w:pPr>
            <w:sdt>
              <w:sdtPr>
                <w:rPr>
                  <w:sz w:val="20"/>
                  <w:szCs w:val="20"/>
                  <w:lang w:eastAsia="en-US"/>
                </w:rPr>
                <w:id w:val="-742945158"/>
                <w14:checkbox>
                  <w14:checked w14:val="0"/>
                  <w14:checkedState w14:val="2612" w14:font="MS Gothic"/>
                  <w14:uncheckedState w14:val="2610" w14:font="MS Gothic"/>
                </w14:checkbox>
              </w:sdtPr>
              <w:sdtContent>
                <w:r w:rsidR="00FD598C" w:rsidRPr="006D75F3">
                  <w:rPr>
                    <w:rFonts w:ascii="Segoe UI Symbol" w:eastAsia="MS Gothic" w:hAnsi="Segoe UI Symbol" w:cs="Segoe UI Symbol"/>
                    <w:sz w:val="20"/>
                    <w:szCs w:val="20"/>
                    <w:lang w:eastAsia="en-US"/>
                  </w:rPr>
                  <w:t>☐</w:t>
                </w:r>
              </w:sdtContent>
            </w:sdt>
            <w:r w:rsidR="00FD598C" w:rsidRPr="006D75F3">
              <w:rPr>
                <w:sz w:val="20"/>
                <w:szCs w:val="20"/>
                <w:lang w:eastAsia="en-US"/>
              </w:rPr>
              <w:t xml:space="preserve"> No</w:t>
            </w:r>
          </w:p>
          <w:p w14:paraId="2B56CD5C" w14:textId="01C895AB" w:rsidR="00260EAB" w:rsidRPr="006D75F3" w:rsidRDefault="00260EAB" w:rsidP="006D75F3">
            <w:pPr>
              <w:spacing w:line="20" w:lineRule="atLeast"/>
              <w:rPr>
                <w:sz w:val="20"/>
                <w:szCs w:val="20"/>
              </w:rPr>
            </w:pPr>
          </w:p>
        </w:tc>
      </w:tr>
      <w:tr w:rsidR="000750D6" w:rsidRPr="006D75F3" w14:paraId="0ED08617" w14:textId="77777777" w:rsidTr="00260EAB">
        <w:tc>
          <w:tcPr>
            <w:tcW w:w="3823" w:type="dxa"/>
            <w:shd w:val="clear" w:color="auto" w:fill="DBE5F1" w:themeFill="accent1" w:themeFillTint="33"/>
          </w:tcPr>
          <w:p w14:paraId="51296B3B" w14:textId="77777777" w:rsidR="000750D6" w:rsidRPr="006D75F3" w:rsidRDefault="00FD598C" w:rsidP="006D75F3">
            <w:pPr>
              <w:spacing w:line="20" w:lineRule="atLeast"/>
              <w:rPr>
                <w:b/>
                <w:bCs/>
                <w:sz w:val="20"/>
                <w:szCs w:val="20"/>
              </w:rPr>
            </w:pPr>
            <w:r w:rsidRPr="006D75F3">
              <w:rPr>
                <w:b/>
                <w:bCs/>
                <w:sz w:val="20"/>
                <w:szCs w:val="20"/>
              </w:rPr>
              <w:t>Purpose of sharing:</w:t>
            </w:r>
          </w:p>
          <w:p w14:paraId="4FF5DA3E" w14:textId="77777777" w:rsidR="00260EAB" w:rsidRPr="006D75F3" w:rsidRDefault="00260EAB" w:rsidP="006D75F3">
            <w:pPr>
              <w:spacing w:line="20" w:lineRule="atLeast"/>
              <w:rPr>
                <w:b/>
                <w:bCs/>
                <w:sz w:val="20"/>
                <w:szCs w:val="20"/>
              </w:rPr>
            </w:pPr>
          </w:p>
          <w:p w14:paraId="735157BB" w14:textId="1E6EBF71" w:rsidR="00260EAB" w:rsidRPr="006D75F3" w:rsidRDefault="00260EAB" w:rsidP="006D75F3">
            <w:pPr>
              <w:spacing w:line="20" w:lineRule="atLeast"/>
              <w:rPr>
                <w:b/>
                <w:bCs/>
                <w:sz w:val="20"/>
                <w:szCs w:val="20"/>
              </w:rPr>
            </w:pPr>
          </w:p>
        </w:tc>
        <w:tc>
          <w:tcPr>
            <w:tcW w:w="6633" w:type="dxa"/>
          </w:tcPr>
          <w:p w14:paraId="129F92D4" w14:textId="77777777" w:rsidR="000750D6" w:rsidRPr="006D75F3" w:rsidRDefault="000750D6" w:rsidP="006D75F3">
            <w:pPr>
              <w:spacing w:line="20" w:lineRule="atLeast"/>
              <w:rPr>
                <w:sz w:val="20"/>
                <w:szCs w:val="20"/>
              </w:rPr>
            </w:pPr>
          </w:p>
        </w:tc>
      </w:tr>
      <w:tr w:rsidR="00FD598C" w:rsidRPr="006D75F3" w14:paraId="222DF79B" w14:textId="77777777" w:rsidTr="00260EAB">
        <w:tc>
          <w:tcPr>
            <w:tcW w:w="3823" w:type="dxa"/>
            <w:shd w:val="clear" w:color="auto" w:fill="DBE5F1" w:themeFill="accent1" w:themeFillTint="33"/>
          </w:tcPr>
          <w:p w14:paraId="2D9D06C2" w14:textId="77777777" w:rsidR="00FD598C" w:rsidRPr="006D75F3" w:rsidRDefault="00FD598C" w:rsidP="006D75F3">
            <w:pPr>
              <w:spacing w:line="20" w:lineRule="atLeast"/>
              <w:rPr>
                <w:b/>
                <w:bCs/>
                <w:sz w:val="20"/>
                <w:szCs w:val="20"/>
              </w:rPr>
            </w:pPr>
            <w:r w:rsidRPr="006D75F3">
              <w:rPr>
                <w:b/>
                <w:bCs/>
                <w:sz w:val="20"/>
                <w:szCs w:val="20"/>
              </w:rPr>
              <w:t xml:space="preserve">Lawful basis for processing – please </w:t>
            </w:r>
            <w:proofErr w:type="gramStart"/>
            <w:r w:rsidRPr="006D75F3">
              <w:rPr>
                <w:b/>
                <w:bCs/>
                <w:sz w:val="20"/>
                <w:szCs w:val="20"/>
              </w:rPr>
              <w:t>state</w:t>
            </w:r>
            <w:proofErr w:type="gramEnd"/>
            <w:r w:rsidRPr="006D75F3">
              <w:rPr>
                <w:b/>
                <w:bCs/>
                <w:sz w:val="20"/>
                <w:szCs w:val="20"/>
              </w:rPr>
              <w:t xml:space="preserve"> which:</w:t>
            </w:r>
          </w:p>
          <w:p w14:paraId="775F50B2" w14:textId="2367B604" w:rsidR="00260EAB" w:rsidRPr="006D75F3" w:rsidRDefault="00260EAB" w:rsidP="006D75F3">
            <w:pPr>
              <w:spacing w:line="20" w:lineRule="atLeast"/>
              <w:rPr>
                <w:b/>
                <w:bCs/>
                <w:sz w:val="20"/>
                <w:szCs w:val="20"/>
              </w:rPr>
            </w:pPr>
          </w:p>
        </w:tc>
        <w:tc>
          <w:tcPr>
            <w:tcW w:w="6633" w:type="dxa"/>
          </w:tcPr>
          <w:p w14:paraId="1EA7B095" w14:textId="77777777" w:rsidR="00FD598C" w:rsidRPr="006D75F3" w:rsidRDefault="00FD598C" w:rsidP="006D75F3">
            <w:pPr>
              <w:spacing w:line="20" w:lineRule="atLeast"/>
              <w:rPr>
                <w:sz w:val="20"/>
                <w:szCs w:val="20"/>
              </w:rPr>
            </w:pPr>
          </w:p>
        </w:tc>
      </w:tr>
      <w:tr w:rsidR="00FD598C" w:rsidRPr="006D75F3" w14:paraId="12EE1E3F" w14:textId="77777777" w:rsidTr="00260EAB">
        <w:tc>
          <w:tcPr>
            <w:tcW w:w="3823" w:type="dxa"/>
            <w:shd w:val="clear" w:color="auto" w:fill="DBE5F1" w:themeFill="accent1" w:themeFillTint="33"/>
          </w:tcPr>
          <w:p w14:paraId="67086A25" w14:textId="77777777" w:rsidR="00FD598C" w:rsidRPr="006D75F3" w:rsidRDefault="00FD598C" w:rsidP="006D75F3">
            <w:pPr>
              <w:spacing w:line="20" w:lineRule="atLeast"/>
              <w:rPr>
                <w:b/>
                <w:bCs/>
                <w:sz w:val="20"/>
                <w:szCs w:val="20"/>
              </w:rPr>
            </w:pPr>
            <w:r w:rsidRPr="006D75F3">
              <w:rPr>
                <w:b/>
                <w:bCs/>
                <w:sz w:val="20"/>
                <w:szCs w:val="20"/>
              </w:rPr>
              <w:t>Why is sharing ‘necessary’?</w:t>
            </w:r>
          </w:p>
          <w:p w14:paraId="63DC30C6" w14:textId="5782A1F2" w:rsidR="00260EAB" w:rsidRPr="006D75F3" w:rsidRDefault="00260EAB" w:rsidP="006D75F3">
            <w:pPr>
              <w:spacing w:line="20" w:lineRule="atLeast"/>
              <w:rPr>
                <w:b/>
                <w:bCs/>
                <w:sz w:val="20"/>
                <w:szCs w:val="20"/>
              </w:rPr>
            </w:pPr>
          </w:p>
        </w:tc>
        <w:tc>
          <w:tcPr>
            <w:tcW w:w="6633" w:type="dxa"/>
          </w:tcPr>
          <w:p w14:paraId="114804D5" w14:textId="77777777" w:rsidR="00FD598C" w:rsidRPr="006D75F3" w:rsidRDefault="00FD598C" w:rsidP="006D75F3">
            <w:pPr>
              <w:spacing w:line="20" w:lineRule="atLeast"/>
              <w:rPr>
                <w:sz w:val="20"/>
                <w:szCs w:val="20"/>
              </w:rPr>
            </w:pPr>
          </w:p>
        </w:tc>
      </w:tr>
      <w:tr w:rsidR="00FD598C" w:rsidRPr="006D75F3" w14:paraId="53D3FC41" w14:textId="77777777" w:rsidTr="00260EAB">
        <w:tc>
          <w:tcPr>
            <w:tcW w:w="3823" w:type="dxa"/>
            <w:shd w:val="clear" w:color="auto" w:fill="DBE5F1" w:themeFill="accent1" w:themeFillTint="33"/>
          </w:tcPr>
          <w:p w14:paraId="5E37001A" w14:textId="77777777" w:rsidR="00FD598C" w:rsidRPr="006D75F3" w:rsidRDefault="0062265A" w:rsidP="006D75F3">
            <w:pPr>
              <w:spacing w:line="20" w:lineRule="atLeast"/>
              <w:rPr>
                <w:b/>
                <w:bCs/>
                <w:sz w:val="20"/>
                <w:szCs w:val="20"/>
              </w:rPr>
            </w:pPr>
            <w:r w:rsidRPr="006D75F3">
              <w:rPr>
                <w:b/>
                <w:bCs/>
                <w:sz w:val="20"/>
                <w:szCs w:val="20"/>
              </w:rPr>
              <w:t>Are additional conditions met for special category data or criminal offence data sharing (where applicable)?</w:t>
            </w:r>
          </w:p>
          <w:p w14:paraId="1E171FFD" w14:textId="760B8DF9" w:rsidR="00260EAB" w:rsidRPr="006D75F3" w:rsidRDefault="00260EAB" w:rsidP="006D75F3">
            <w:pPr>
              <w:spacing w:line="20" w:lineRule="atLeast"/>
              <w:rPr>
                <w:b/>
                <w:bCs/>
                <w:sz w:val="20"/>
                <w:szCs w:val="20"/>
              </w:rPr>
            </w:pPr>
          </w:p>
        </w:tc>
        <w:tc>
          <w:tcPr>
            <w:tcW w:w="6633" w:type="dxa"/>
          </w:tcPr>
          <w:p w14:paraId="7832E6FA" w14:textId="77777777" w:rsidR="00FD598C" w:rsidRPr="006D75F3" w:rsidRDefault="00FD598C" w:rsidP="006D75F3">
            <w:pPr>
              <w:spacing w:line="20" w:lineRule="atLeast"/>
              <w:rPr>
                <w:sz w:val="20"/>
                <w:szCs w:val="20"/>
              </w:rPr>
            </w:pPr>
          </w:p>
        </w:tc>
      </w:tr>
      <w:tr w:rsidR="00FD598C" w:rsidRPr="006D75F3" w14:paraId="7F9A6DA0" w14:textId="77777777" w:rsidTr="00260EAB">
        <w:tc>
          <w:tcPr>
            <w:tcW w:w="3823" w:type="dxa"/>
            <w:shd w:val="clear" w:color="auto" w:fill="DBE5F1" w:themeFill="accent1" w:themeFillTint="33"/>
          </w:tcPr>
          <w:p w14:paraId="03064A8E" w14:textId="77777777" w:rsidR="00FD598C" w:rsidRPr="006D75F3" w:rsidRDefault="0062265A" w:rsidP="006D75F3">
            <w:pPr>
              <w:spacing w:line="20" w:lineRule="atLeast"/>
              <w:rPr>
                <w:b/>
                <w:bCs/>
                <w:sz w:val="20"/>
                <w:szCs w:val="20"/>
              </w:rPr>
            </w:pPr>
            <w:r w:rsidRPr="006D75F3">
              <w:rPr>
                <w:b/>
                <w:bCs/>
                <w:sz w:val="20"/>
                <w:szCs w:val="20"/>
              </w:rPr>
              <w:t>Are additional provisions met in the case of Part 3 Data Protection Act 2018 data sharing?</w:t>
            </w:r>
          </w:p>
          <w:p w14:paraId="7C0BD43C" w14:textId="293E8956" w:rsidR="00260EAB" w:rsidRPr="006D75F3" w:rsidRDefault="00260EAB" w:rsidP="006D75F3">
            <w:pPr>
              <w:spacing w:line="20" w:lineRule="atLeast"/>
              <w:rPr>
                <w:b/>
                <w:bCs/>
                <w:sz w:val="20"/>
                <w:szCs w:val="20"/>
              </w:rPr>
            </w:pPr>
          </w:p>
        </w:tc>
        <w:tc>
          <w:tcPr>
            <w:tcW w:w="6633" w:type="dxa"/>
          </w:tcPr>
          <w:p w14:paraId="6CD9EE5E" w14:textId="77777777" w:rsidR="00FD598C" w:rsidRPr="006D75F3" w:rsidRDefault="00FD598C" w:rsidP="006D75F3">
            <w:pPr>
              <w:spacing w:line="20" w:lineRule="atLeast"/>
              <w:rPr>
                <w:sz w:val="20"/>
                <w:szCs w:val="20"/>
              </w:rPr>
            </w:pPr>
          </w:p>
        </w:tc>
      </w:tr>
      <w:tr w:rsidR="00FD598C" w:rsidRPr="006D75F3" w14:paraId="2EAA8516" w14:textId="77777777" w:rsidTr="00260EAB">
        <w:tc>
          <w:tcPr>
            <w:tcW w:w="3823" w:type="dxa"/>
            <w:shd w:val="clear" w:color="auto" w:fill="DBE5F1" w:themeFill="accent1" w:themeFillTint="33"/>
          </w:tcPr>
          <w:p w14:paraId="3B6C89CC" w14:textId="77777777" w:rsidR="00FD598C" w:rsidRPr="006D75F3" w:rsidRDefault="00260EAB" w:rsidP="006D75F3">
            <w:pPr>
              <w:spacing w:line="20" w:lineRule="atLeast"/>
              <w:rPr>
                <w:b/>
                <w:bCs/>
                <w:sz w:val="20"/>
                <w:szCs w:val="20"/>
              </w:rPr>
            </w:pPr>
            <w:r w:rsidRPr="006D75F3">
              <w:rPr>
                <w:b/>
                <w:bCs/>
                <w:sz w:val="20"/>
                <w:szCs w:val="20"/>
              </w:rPr>
              <w:t>Which legal power for sharing applies (if relevant)?</w:t>
            </w:r>
          </w:p>
          <w:p w14:paraId="7EF1A51D" w14:textId="526EA02D" w:rsidR="00260EAB" w:rsidRPr="006D75F3" w:rsidRDefault="00260EAB" w:rsidP="006D75F3">
            <w:pPr>
              <w:spacing w:line="20" w:lineRule="atLeast"/>
              <w:rPr>
                <w:b/>
                <w:bCs/>
                <w:sz w:val="20"/>
                <w:szCs w:val="20"/>
              </w:rPr>
            </w:pPr>
          </w:p>
        </w:tc>
        <w:tc>
          <w:tcPr>
            <w:tcW w:w="6633" w:type="dxa"/>
          </w:tcPr>
          <w:p w14:paraId="175839B5" w14:textId="77777777" w:rsidR="00FD598C" w:rsidRPr="006D75F3" w:rsidRDefault="00FD598C" w:rsidP="006D75F3">
            <w:pPr>
              <w:spacing w:line="20" w:lineRule="atLeast"/>
              <w:rPr>
                <w:sz w:val="20"/>
                <w:szCs w:val="20"/>
              </w:rPr>
            </w:pPr>
          </w:p>
        </w:tc>
      </w:tr>
      <w:tr w:rsidR="00FD598C" w:rsidRPr="006D75F3" w14:paraId="766637B5" w14:textId="77777777" w:rsidTr="00260EAB">
        <w:tc>
          <w:tcPr>
            <w:tcW w:w="3823" w:type="dxa"/>
            <w:shd w:val="clear" w:color="auto" w:fill="DBE5F1" w:themeFill="accent1" w:themeFillTint="33"/>
          </w:tcPr>
          <w:p w14:paraId="6E0FF69C" w14:textId="77777777" w:rsidR="00FD598C" w:rsidRPr="006D75F3" w:rsidRDefault="00260EAB" w:rsidP="006D75F3">
            <w:pPr>
              <w:spacing w:line="20" w:lineRule="atLeast"/>
              <w:rPr>
                <w:b/>
                <w:bCs/>
                <w:sz w:val="20"/>
                <w:szCs w:val="20"/>
              </w:rPr>
            </w:pPr>
            <w:r w:rsidRPr="006D75F3">
              <w:rPr>
                <w:b/>
                <w:bCs/>
                <w:sz w:val="20"/>
                <w:szCs w:val="20"/>
              </w:rPr>
              <w:t>Have you considered a Data Protection Impact Assessment (DPIA)?</w:t>
            </w:r>
          </w:p>
          <w:p w14:paraId="424C6767" w14:textId="4F870910" w:rsidR="00260EAB" w:rsidRPr="006D75F3" w:rsidRDefault="00260EAB" w:rsidP="006D75F3">
            <w:pPr>
              <w:spacing w:line="20" w:lineRule="atLeast"/>
              <w:rPr>
                <w:b/>
                <w:bCs/>
                <w:sz w:val="20"/>
                <w:szCs w:val="20"/>
              </w:rPr>
            </w:pPr>
          </w:p>
        </w:tc>
        <w:tc>
          <w:tcPr>
            <w:tcW w:w="6633" w:type="dxa"/>
          </w:tcPr>
          <w:p w14:paraId="0827B562" w14:textId="77777777" w:rsidR="00FD598C" w:rsidRPr="006D75F3" w:rsidRDefault="00FD598C" w:rsidP="006D75F3">
            <w:pPr>
              <w:spacing w:line="20" w:lineRule="atLeast"/>
              <w:rPr>
                <w:sz w:val="20"/>
                <w:szCs w:val="20"/>
              </w:rPr>
            </w:pPr>
          </w:p>
        </w:tc>
      </w:tr>
      <w:tr w:rsidR="00260EAB" w:rsidRPr="006D75F3" w14:paraId="2F2CFAB9" w14:textId="77777777" w:rsidTr="00260EAB">
        <w:tc>
          <w:tcPr>
            <w:tcW w:w="3823" w:type="dxa"/>
            <w:shd w:val="clear" w:color="auto" w:fill="DBE5F1" w:themeFill="accent1" w:themeFillTint="33"/>
          </w:tcPr>
          <w:p w14:paraId="168FB9F5" w14:textId="77777777" w:rsidR="00260EAB" w:rsidRPr="006D75F3" w:rsidRDefault="00260EAB" w:rsidP="006D75F3">
            <w:pPr>
              <w:spacing w:line="20" w:lineRule="atLeast"/>
              <w:rPr>
                <w:b/>
                <w:bCs/>
                <w:sz w:val="20"/>
                <w:szCs w:val="20"/>
              </w:rPr>
            </w:pPr>
            <w:r w:rsidRPr="006D75F3">
              <w:rPr>
                <w:b/>
                <w:bCs/>
                <w:sz w:val="20"/>
                <w:szCs w:val="20"/>
              </w:rPr>
              <w:t>DPIA undertaken and outcome (if applicable):</w:t>
            </w:r>
          </w:p>
          <w:p w14:paraId="7AA9EE6F" w14:textId="03142447" w:rsidR="00260EAB" w:rsidRPr="006D75F3" w:rsidRDefault="00260EAB" w:rsidP="006D75F3">
            <w:pPr>
              <w:spacing w:line="20" w:lineRule="atLeast"/>
              <w:rPr>
                <w:b/>
                <w:bCs/>
                <w:sz w:val="20"/>
                <w:szCs w:val="20"/>
              </w:rPr>
            </w:pPr>
          </w:p>
        </w:tc>
        <w:tc>
          <w:tcPr>
            <w:tcW w:w="6633" w:type="dxa"/>
          </w:tcPr>
          <w:p w14:paraId="642D0BDD" w14:textId="77777777" w:rsidR="00260EAB" w:rsidRPr="006D75F3" w:rsidRDefault="00260EAB" w:rsidP="006D75F3">
            <w:pPr>
              <w:spacing w:line="20" w:lineRule="atLeast"/>
              <w:rPr>
                <w:sz w:val="20"/>
                <w:szCs w:val="20"/>
              </w:rPr>
            </w:pPr>
          </w:p>
        </w:tc>
      </w:tr>
      <w:tr w:rsidR="00260EAB" w:rsidRPr="006D75F3" w14:paraId="7B120ED6" w14:textId="77777777" w:rsidTr="00260EAB">
        <w:tc>
          <w:tcPr>
            <w:tcW w:w="3823" w:type="dxa"/>
            <w:shd w:val="clear" w:color="auto" w:fill="DBE5F1" w:themeFill="accent1" w:themeFillTint="33"/>
          </w:tcPr>
          <w:p w14:paraId="2A618D30" w14:textId="77777777" w:rsidR="00260EAB" w:rsidRPr="006D75F3" w:rsidRDefault="00260EAB" w:rsidP="006D75F3">
            <w:pPr>
              <w:spacing w:line="20" w:lineRule="atLeast"/>
              <w:rPr>
                <w:b/>
                <w:bCs/>
                <w:sz w:val="20"/>
                <w:szCs w:val="20"/>
              </w:rPr>
            </w:pPr>
            <w:r w:rsidRPr="006D75F3">
              <w:rPr>
                <w:b/>
                <w:bCs/>
                <w:sz w:val="20"/>
                <w:szCs w:val="20"/>
              </w:rPr>
              <w:t xml:space="preserve">Were views of Data Protection Officer (or equivalent) considered)? (If DPIA not done) </w:t>
            </w:r>
          </w:p>
          <w:p w14:paraId="7322C1F8" w14:textId="6975C2DB" w:rsidR="00260EAB" w:rsidRPr="006D75F3" w:rsidRDefault="00260EAB" w:rsidP="006D75F3">
            <w:pPr>
              <w:spacing w:line="20" w:lineRule="atLeast"/>
              <w:rPr>
                <w:b/>
                <w:bCs/>
                <w:sz w:val="20"/>
                <w:szCs w:val="20"/>
              </w:rPr>
            </w:pPr>
          </w:p>
        </w:tc>
        <w:tc>
          <w:tcPr>
            <w:tcW w:w="6633" w:type="dxa"/>
          </w:tcPr>
          <w:p w14:paraId="17783EE8" w14:textId="77777777" w:rsidR="00260EAB" w:rsidRPr="006D75F3" w:rsidRDefault="00260EAB" w:rsidP="006D75F3">
            <w:pPr>
              <w:spacing w:line="20" w:lineRule="atLeast"/>
              <w:rPr>
                <w:sz w:val="20"/>
                <w:szCs w:val="20"/>
              </w:rPr>
            </w:pPr>
          </w:p>
        </w:tc>
      </w:tr>
      <w:tr w:rsidR="00260EAB" w:rsidRPr="006D75F3" w14:paraId="504E1949" w14:textId="77777777" w:rsidTr="00260EAB">
        <w:tc>
          <w:tcPr>
            <w:tcW w:w="3823" w:type="dxa"/>
            <w:shd w:val="clear" w:color="auto" w:fill="DBE5F1" w:themeFill="accent1" w:themeFillTint="33"/>
          </w:tcPr>
          <w:p w14:paraId="5A59CB43" w14:textId="77777777" w:rsidR="00260EAB" w:rsidRPr="006D75F3" w:rsidRDefault="00260EAB" w:rsidP="006D75F3">
            <w:pPr>
              <w:spacing w:line="20" w:lineRule="atLeast"/>
              <w:rPr>
                <w:b/>
                <w:bCs/>
                <w:sz w:val="20"/>
                <w:szCs w:val="20"/>
              </w:rPr>
            </w:pPr>
            <w:r w:rsidRPr="006D75F3">
              <w:rPr>
                <w:b/>
                <w:bCs/>
                <w:sz w:val="20"/>
                <w:szCs w:val="20"/>
              </w:rPr>
              <w:t>Are there any specific arrangements for retention/deletion of data?</w:t>
            </w:r>
          </w:p>
          <w:p w14:paraId="29FF267C" w14:textId="15EE2127" w:rsidR="00260EAB" w:rsidRPr="006D75F3" w:rsidRDefault="00260EAB" w:rsidP="006D75F3">
            <w:pPr>
              <w:spacing w:line="20" w:lineRule="atLeast"/>
              <w:rPr>
                <w:b/>
                <w:bCs/>
                <w:sz w:val="20"/>
                <w:szCs w:val="20"/>
              </w:rPr>
            </w:pPr>
          </w:p>
        </w:tc>
        <w:tc>
          <w:tcPr>
            <w:tcW w:w="6633" w:type="dxa"/>
          </w:tcPr>
          <w:p w14:paraId="3C742F79" w14:textId="77777777" w:rsidR="00260EAB" w:rsidRPr="006D75F3" w:rsidRDefault="00260EAB" w:rsidP="006D75F3">
            <w:pPr>
              <w:spacing w:line="20" w:lineRule="atLeast"/>
              <w:rPr>
                <w:sz w:val="20"/>
                <w:szCs w:val="20"/>
              </w:rPr>
            </w:pPr>
          </w:p>
        </w:tc>
      </w:tr>
      <w:tr w:rsidR="00260EAB" w:rsidRPr="006D75F3" w14:paraId="1FAF46F0" w14:textId="77777777" w:rsidTr="00260EAB">
        <w:tc>
          <w:tcPr>
            <w:tcW w:w="3823" w:type="dxa"/>
            <w:shd w:val="clear" w:color="auto" w:fill="DBE5F1" w:themeFill="accent1" w:themeFillTint="33"/>
          </w:tcPr>
          <w:p w14:paraId="3E5362A9" w14:textId="77777777" w:rsidR="00260EAB" w:rsidRPr="006D75F3" w:rsidRDefault="00260EAB" w:rsidP="006D75F3">
            <w:pPr>
              <w:spacing w:line="20" w:lineRule="atLeast"/>
              <w:rPr>
                <w:b/>
                <w:bCs/>
                <w:sz w:val="20"/>
                <w:szCs w:val="20"/>
              </w:rPr>
            </w:pPr>
            <w:r w:rsidRPr="006D75F3">
              <w:rPr>
                <w:b/>
                <w:bCs/>
                <w:sz w:val="20"/>
                <w:szCs w:val="20"/>
              </w:rPr>
              <w:lastRenderedPageBreak/>
              <w:t>What are the security considerations?</w:t>
            </w:r>
          </w:p>
          <w:p w14:paraId="3BB3D520" w14:textId="2DCF7B0E" w:rsidR="00260EAB" w:rsidRPr="006D75F3" w:rsidRDefault="00260EAB" w:rsidP="006D75F3">
            <w:pPr>
              <w:spacing w:line="20" w:lineRule="atLeast"/>
              <w:rPr>
                <w:b/>
                <w:bCs/>
                <w:sz w:val="20"/>
                <w:szCs w:val="20"/>
              </w:rPr>
            </w:pPr>
          </w:p>
        </w:tc>
        <w:tc>
          <w:tcPr>
            <w:tcW w:w="6633" w:type="dxa"/>
          </w:tcPr>
          <w:p w14:paraId="7D040E8E" w14:textId="77777777" w:rsidR="00260EAB" w:rsidRPr="006D75F3" w:rsidRDefault="00260EAB" w:rsidP="006D75F3">
            <w:pPr>
              <w:spacing w:line="20" w:lineRule="atLeast"/>
              <w:rPr>
                <w:sz w:val="20"/>
                <w:szCs w:val="20"/>
              </w:rPr>
            </w:pPr>
          </w:p>
        </w:tc>
      </w:tr>
      <w:tr w:rsidR="00260EAB" w:rsidRPr="006D75F3" w14:paraId="18AF8E15" w14:textId="77777777" w:rsidTr="00260EAB">
        <w:tc>
          <w:tcPr>
            <w:tcW w:w="3823" w:type="dxa"/>
            <w:shd w:val="clear" w:color="auto" w:fill="DBE5F1" w:themeFill="accent1" w:themeFillTint="33"/>
          </w:tcPr>
          <w:p w14:paraId="414005C7" w14:textId="77777777" w:rsidR="00260EAB" w:rsidRPr="006D75F3" w:rsidRDefault="00260EAB" w:rsidP="006D75F3">
            <w:pPr>
              <w:spacing w:line="20" w:lineRule="atLeast"/>
              <w:rPr>
                <w:b/>
                <w:bCs/>
                <w:sz w:val="20"/>
                <w:szCs w:val="20"/>
              </w:rPr>
            </w:pPr>
            <w:r w:rsidRPr="006D75F3">
              <w:rPr>
                <w:b/>
                <w:bCs/>
                <w:sz w:val="20"/>
                <w:szCs w:val="20"/>
              </w:rPr>
              <w:t>What arrangements are there for complying with individuals’ information rights?</w:t>
            </w:r>
          </w:p>
          <w:p w14:paraId="1274CEC2" w14:textId="1349EDB7" w:rsidR="00260EAB" w:rsidRPr="006D75F3" w:rsidRDefault="00260EAB" w:rsidP="006D75F3">
            <w:pPr>
              <w:spacing w:line="20" w:lineRule="atLeast"/>
              <w:rPr>
                <w:b/>
                <w:bCs/>
                <w:sz w:val="20"/>
                <w:szCs w:val="20"/>
              </w:rPr>
            </w:pPr>
          </w:p>
        </w:tc>
        <w:tc>
          <w:tcPr>
            <w:tcW w:w="6633" w:type="dxa"/>
          </w:tcPr>
          <w:p w14:paraId="262C9DD4" w14:textId="77777777" w:rsidR="00260EAB" w:rsidRPr="006D75F3" w:rsidRDefault="00260EAB" w:rsidP="006D75F3">
            <w:pPr>
              <w:spacing w:line="20" w:lineRule="atLeast"/>
              <w:rPr>
                <w:sz w:val="20"/>
                <w:szCs w:val="20"/>
              </w:rPr>
            </w:pPr>
          </w:p>
        </w:tc>
      </w:tr>
      <w:tr w:rsidR="00260EAB" w:rsidRPr="006D75F3" w14:paraId="219F8124" w14:textId="77777777" w:rsidTr="00260EAB">
        <w:tc>
          <w:tcPr>
            <w:tcW w:w="3823" w:type="dxa"/>
            <w:shd w:val="clear" w:color="auto" w:fill="DBE5F1" w:themeFill="accent1" w:themeFillTint="33"/>
          </w:tcPr>
          <w:p w14:paraId="07EA2038" w14:textId="77777777" w:rsidR="00260EAB" w:rsidRPr="006D75F3" w:rsidRDefault="00260EAB" w:rsidP="006D75F3">
            <w:pPr>
              <w:spacing w:line="20" w:lineRule="atLeast"/>
              <w:rPr>
                <w:b/>
                <w:bCs/>
                <w:sz w:val="20"/>
                <w:szCs w:val="20"/>
              </w:rPr>
            </w:pPr>
            <w:r w:rsidRPr="006D75F3">
              <w:rPr>
                <w:b/>
                <w:bCs/>
                <w:sz w:val="20"/>
                <w:szCs w:val="20"/>
              </w:rPr>
              <w:t>Date(s) of requested sharing (or intervals if data is to be shared on a regular basis)</w:t>
            </w:r>
          </w:p>
          <w:p w14:paraId="7BE8F09A" w14:textId="4B15328E" w:rsidR="00260EAB" w:rsidRPr="006D75F3" w:rsidRDefault="00260EAB" w:rsidP="006D75F3">
            <w:pPr>
              <w:spacing w:line="20" w:lineRule="atLeast"/>
              <w:rPr>
                <w:b/>
                <w:bCs/>
                <w:sz w:val="20"/>
                <w:szCs w:val="20"/>
              </w:rPr>
            </w:pPr>
          </w:p>
        </w:tc>
        <w:tc>
          <w:tcPr>
            <w:tcW w:w="6633" w:type="dxa"/>
          </w:tcPr>
          <w:p w14:paraId="32632C19" w14:textId="77777777" w:rsidR="00260EAB" w:rsidRPr="006D75F3" w:rsidRDefault="00260EAB" w:rsidP="006D75F3">
            <w:pPr>
              <w:spacing w:line="20" w:lineRule="atLeast"/>
              <w:rPr>
                <w:sz w:val="20"/>
                <w:szCs w:val="20"/>
              </w:rPr>
            </w:pPr>
          </w:p>
        </w:tc>
      </w:tr>
      <w:tr w:rsidR="00FD598C" w:rsidRPr="006D75F3" w14:paraId="19601AB1" w14:textId="77777777" w:rsidTr="00260EAB">
        <w:tc>
          <w:tcPr>
            <w:tcW w:w="3823" w:type="dxa"/>
            <w:shd w:val="clear" w:color="auto" w:fill="DBE5F1" w:themeFill="accent1" w:themeFillTint="33"/>
          </w:tcPr>
          <w:p w14:paraId="03624896" w14:textId="77777777" w:rsidR="00FD598C" w:rsidRPr="006D75F3" w:rsidRDefault="00260EAB" w:rsidP="006D75F3">
            <w:pPr>
              <w:spacing w:line="20" w:lineRule="atLeast"/>
              <w:rPr>
                <w:b/>
                <w:bCs/>
                <w:sz w:val="20"/>
                <w:szCs w:val="20"/>
              </w:rPr>
            </w:pPr>
            <w:r w:rsidRPr="006D75F3">
              <w:rPr>
                <w:b/>
                <w:bCs/>
                <w:sz w:val="20"/>
                <w:szCs w:val="20"/>
              </w:rPr>
              <w:t>Decision on request:</w:t>
            </w:r>
          </w:p>
          <w:p w14:paraId="2C51379B" w14:textId="0C2A2743" w:rsidR="00260EAB" w:rsidRPr="006D75F3" w:rsidRDefault="00260EAB" w:rsidP="006D75F3">
            <w:pPr>
              <w:spacing w:line="20" w:lineRule="atLeast"/>
              <w:rPr>
                <w:b/>
                <w:bCs/>
                <w:sz w:val="20"/>
                <w:szCs w:val="20"/>
              </w:rPr>
            </w:pPr>
          </w:p>
        </w:tc>
        <w:tc>
          <w:tcPr>
            <w:tcW w:w="6633" w:type="dxa"/>
          </w:tcPr>
          <w:p w14:paraId="42CEFA2B" w14:textId="77777777" w:rsidR="00FD598C" w:rsidRPr="006D75F3" w:rsidRDefault="00FD598C" w:rsidP="006D75F3">
            <w:pPr>
              <w:spacing w:line="20" w:lineRule="atLeast"/>
              <w:rPr>
                <w:sz w:val="20"/>
                <w:szCs w:val="20"/>
              </w:rPr>
            </w:pPr>
          </w:p>
        </w:tc>
      </w:tr>
      <w:tr w:rsidR="00260EAB" w:rsidRPr="006D75F3" w14:paraId="11DF8DD3" w14:textId="77777777" w:rsidTr="00260EAB">
        <w:tc>
          <w:tcPr>
            <w:tcW w:w="3823" w:type="dxa"/>
            <w:shd w:val="clear" w:color="auto" w:fill="DBE5F1" w:themeFill="accent1" w:themeFillTint="33"/>
          </w:tcPr>
          <w:p w14:paraId="160A50D0" w14:textId="77777777" w:rsidR="00260EAB" w:rsidRPr="006D75F3" w:rsidRDefault="00260EAB" w:rsidP="006D75F3">
            <w:pPr>
              <w:spacing w:line="20" w:lineRule="atLeast"/>
              <w:rPr>
                <w:b/>
                <w:bCs/>
                <w:sz w:val="20"/>
                <w:szCs w:val="20"/>
              </w:rPr>
            </w:pPr>
            <w:r w:rsidRPr="006D75F3">
              <w:rPr>
                <w:b/>
                <w:bCs/>
                <w:sz w:val="20"/>
                <w:szCs w:val="20"/>
              </w:rPr>
              <w:t>Reason(s) for sharing or not sharing:</w:t>
            </w:r>
          </w:p>
          <w:p w14:paraId="3CFBBFC8" w14:textId="6C8755D1" w:rsidR="00260EAB" w:rsidRPr="006D75F3" w:rsidRDefault="00260EAB" w:rsidP="006D75F3">
            <w:pPr>
              <w:spacing w:line="20" w:lineRule="atLeast"/>
              <w:rPr>
                <w:b/>
                <w:bCs/>
                <w:sz w:val="20"/>
                <w:szCs w:val="20"/>
              </w:rPr>
            </w:pPr>
          </w:p>
        </w:tc>
        <w:tc>
          <w:tcPr>
            <w:tcW w:w="6633" w:type="dxa"/>
          </w:tcPr>
          <w:p w14:paraId="20F92A7C" w14:textId="77777777" w:rsidR="00260EAB" w:rsidRPr="006D75F3" w:rsidRDefault="00260EAB" w:rsidP="006D75F3">
            <w:pPr>
              <w:spacing w:line="20" w:lineRule="atLeast"/>
              <w:rPr>
                <w:sz w:val="20"/>
                <w:szCs w:val="20"/>
              </w:rPr>
            </w:pPr>
          </w:p>
        </w:tc>
      </w:tr>
      <w:tr w:rsidR="00260EAB" w:rsidRPr="006D75F3" w14:paraId="33645518" w14:textId="77777777" w:rsidTr="00260EAB">
        <w:tc>
          <w:tcPr>
            <w:tcW w:w="3823" w:type="dxa"/>
            <w:shd w:val="clear" w:color="auto" w:fill="DBE5F1" w:themeFill="accent1" w:themeFillTint="33"/>
          </w:tcPr>
          <w:p w14:paraId="1C26976E" w14:textId="77777777" w:rsidR="00260EAB" w:rsidRPr="006D75F3" w:rsidRDefault="00260EAB" w:rsidP="006D75F3">
            <w:pPr>
              <w:spacing w:line="20" w:lineRule="atLeast"/>
              <w:rPr>
                <w:b/>
                <w:bCs/>
                <w:sz w:val="20"/>
                <w:szCs w:val="20"/>
              </w:rPr>
            </w:pPr>
            <w:r w:rsidRPr="006D75F3">
              <w:rPr>
                <w:b/>
                <w:bCs/>
                <w:sz w:val="20"/>
                <w:szCs w:val="20"/>
              </w:rPr>
              <w:t>Decision taken by:</w:t>
            </w:r>
          </w:p>
          <w:p w14:paraId="4FF16117" w14:textId="6EFDA8C5" w:rsidR="00260EAB" w:rsidRPr="006D75F3" w:rsidRDefault="00260EAB" w:rsidP="006D75F3">
            <w:pPr>
              <w:spacing w:line="20" w:lineRule="atLeast"/>
              <w:rPr>
                <w:b/>
                <w:bCs/>
                <w:sz w:val="20"/>
                <w:szCs w:val="20"/>
              </w:rPr>
            </w:pPr>
          </w:p>
        </w:tc>
        <w:tc>
          <w:tcPr>
            <w:tcW w:w="6633" w:type="dxa"/>
          </w:tcPr>
          <w:p w14:paraId="04FF2588" w14:textId="77777777" w:rsidR="00260EAB" w:rsidRPr="006D75F3" w:rsidRDefault="00260EAB" w:rsidP="006D75F3">
            <w:pPr>
              <w:spacing w:line="20" w:lineRule="atLeast"/>
              <w:rPr>
                <w:sz w:val="20"/>
                <w:szCs w:val="20"/>
              </w:rPr>
            </w:pPr>
            <w:r w:rsidRPr="006D75F3">
              <w:rPr>
                <w:sz w:val="20"/>
                <w:szCs w:val="20"/>
              </w:rPr>
              <w:t xml:space="preserve">Name: </w:t>
            </w:r>
          </w:p>
          <w:p w14:paraId="42E476E3" w14:textId="77777777" w:rsidR="00260EAB" w:rsidRPr="006D75F3" w:rsidRDefault="00260EAB" w:rsidP="006D75F3">
            <w:pPr>
              <w:spacing w:line="20" w:lineRule="atLeast"/>
              <w:rPr>
                <w:sz w:val="20"/>
                <w:szCs w:val="20"/>
              </w:rPr>
            </w:pPr>
          </w:p>
          <w:p w14:paraId="23BBE429" w14:textId="77777777" w:rsidR="00260EAB" w:rsidRPr="006D75F3" w:rsidRDefault="00260EAB" w:rsidP="006D75F3">
            <w:pPr>
              <w:spacing w:line="20" w:lineRule="atLeast"/>
              <w:rPr>
                <w:sz w:val="20"/>
                <w:szCs w:val="20"/>
              </w:rPr>
            </w:pPr>
            <w:r w:rsidRPr="006D75F3">
              <w:rPr>
                <w:sz w:val="20"/>
                <w:szCs w:val="20"/>
              </w:rPr>
              <w:t>Position:</w:t>
            </w:r>
          </w:p>
          <w:p w14:paraId="21A38A3E" w14:textId="77777777" w:rsidR="00260EAB" w:rsidRPr="006D75F3" w:rsidRDefault="00260EAB" w:rsidP="006D75F3">
            <w:pPr>
              <w:spacing w:line="20" w:lineRule="atLeast"/>
              <w:rPr>
                <w:sz w:val="20"/>
                <w:szCs w:val="20"/>
              </w:rPr>
            </w:pPr>
          </w:p>
          <w:p w14:paraId="45EED2B0" w14:textId="77777777" w:rsidR="00260EAB" w:rsidRPr="006D75F3" w:rsidRDefault="00260EAB" w:rsidP="006D75F3">
            <w:pPr>
              <w:spacing w:line="20" w:lineRule="atLeast"/>
              <w:rPr>
                <w:sz w:val="20"/>
                <w:szCs w:val="20"/>
              </w:rPr>
            </w:pPr>
            <w:r w:rsidRPr="006D75F3">
              <w:rPr>
                <w:sz w:val="20"/>
                <w:szCs w:val="20"/>
              </w:rPr>
              <w:t>Signature:</w:t>
            </w:r>
          </w:p>
          <w:p w14:paraId="33F42961" w14:textId="77777777" w:rsidR="00260EAB" w:rsidRPr="006D75F3" w:rsidRDefault="00260EAB" w:rsidP="006D75F3">
            <w:pPr>
              <w:spacing w:line="20" w:lineRule="atLeast"/>
              <w:rPr>
                <w:sz w:val="20"/>
                <w:szCs w:val="20"/>
              </w:rPr>
            </w:pPr>
          </w:p>
          <w:p w14:paraId="0E3251DC" w14:textId="77777777" w:rsidR="00260EAB" w:rsidRPr="006D75F3" w:rsidRDefault="00260EAB" w:rsidP="006D75F3">
            <w:pPr>
              <w:spacing w:line="20" w:lineRule="atLeast"/>
              <w:rPr>
                <w:sz w:val="20"/>
                <w:szCs w:val="20"/>
              </w:rPr>
            </w:pPr>
            <w:r w:rsidRPr="006D75F3">
              <w:rPr>
                <w:sz w:val="20"/>
                <w:szCs w:val="20"/>
              </w:rPr>
              <w:t xml:space="preserve">Dated: </w:t>
            </w:r>
          </w:p>
          <w:p w14:paraId="7A26890B" w14:textId="5383B395" w:rsidR="00260EAB" w:rsidRPr="006D75F3" w:rsidRDefault="00260EAB" w:rsidP="006D75F3">
            <w:pPr>
              <w:spacing w:line="20" w:lineRule="atLeast"/>
              <w:rPr>
                <w:sz w:val="20"/>
                <w:szCs w:val="20"/>
              </w:rPr>
            </w:pPr>
          </w:p>
        </w:tc>
      </w:tr>
    </w:tbl>
    <w:p w14:paraId="770456A2" w14:textId="77777777" w:rsidR="000750D6" w:rsidRPr="006D75F3" w:rsidRDefault="000750D6" w:rsidP="006D75F3">
      <w:pPr>
        <w:spacing w:after="0" w:line="20" w:lineRule="atLeast"/>
        <w:rPr>
          <w:sz w:val="20"/>
          <w:szCs w:val="20"/>
        </w:rPr>
      </w:pPr>
    </w:p>
    <w:p w14:paraId="16E15EB7" w14:textId="144090EB" w:rsidR="00FD5F04" w:rsidRPr="006D75F3" w:rsidRDefault="00000000" w:rsidP="006D75F3">
      <w:pPr>
        <w:spacing w:after="0" w:line="20" w:lineRule="atLeast"/>
        <w:rPr>
          <w:sz w:val="20"/>
          <w:szCs w:val="20"/>
        </w:rPr>
      </w:pPr>
      <w:r w:rsidRPr="006D75F3">
        <w:rPr>
          <w:sz w:val="20"/>
          <w:szCs w:val="20"/>
        </w:rPr>
        <w:br w:type="page"/>
      </w:r>
    </w:p>
    <w:p w14:paraId="585D3BA5" w14:textId="77777777" w:rsidR="006D75F3" w:rsidRPr="006D75F3" w:rsidRDefault="006D75F3" w:rsidP="006D75F3">
      <w:pPr>
        <w:spacing w:after="0" w:line="20" w:lineRule="atLeast"/>
        <w:rPr>
          <w:sz w:val="20"/>
          <w:szCs w:val="20"/>
        </w:rPr>
      </w:pPr>
    </w:p>
    <w:p w14:paraId="4A05FA8E" w14:textId="77777777" w:rsidR="006D75F3" w:rsidRPr="006D75F3" w:rsidRDefault="006D75F3" w:rsidP="006D75F3">
      <w:pPr>
        <w:spacing w:after="0" w:line="20" w:lineRule="atLeast"/>
        <w:rPr>
          <w:sz w:val="20"/>
          <w:szCs w:val="20"/>
        </w:rPr>
      </w:pPr>
    </w:p>
    <w:p w14:paraId="1758BB01" w14:textId="77777777" w:rsidR="006D75F3" w:rsidRDefault="006D75F3" w:rsidP="006D75F3">
      <w:pPr>
        <w:spacing w:after="0" w:line="20" w:lineRule="atLeast"/>
        <w:rPr>
          <w:sz w:val="20"/>
          <w:szCs w:val="20"/>
        </w:rPr>
      </w:pPr>
    </w:p>
    <w:p w14:paraId="6BE959F5" w14:textId="77777777" w:rsidR="000C6D5B" w:rsidRPr="006D75F3" w:rsidRDefault="000C6D5B" w:rsidP="006D75F3">
      <w:pPr>
        <w:spacing w:after="0" w:line="20" w:lineRule="atLeast"/>
        <w:rPr>
          <w:sz w:val="20"/>
          <w:szCs w:val="20"/>
        </w:rPr>
      </w:pPr>
    </w:p>
    <w:p w14:paraId="32ADD2F1" w14:textId="77777777" w:rsidR="006D75F3" w:rsidRPr="006D75F3" w:rsidRDefault="006D75F3" w:rsidP="006D75F3">
      <w:pPr>
        <w:spacing w:after="0" w:line="20" w:lineRule="atLeast"/>
        <w:rPr>
          <w:sz w:val="20"/>
          <w:szCs w:val="20"/>
        </w:rPr>
      </w:pPr>
    </w:p>
    <w:tbl>
      <w:tblPr>
        <w:tblStyle w:val="TableGrid"/>
        <w:tblW w:w="0" w:type="auto"/>
        <w:tblBorders>
          <w:top w:val="nil"/>
          <w:left w:val="nil"/>
          <w:bottom w:val="nil"/>
          <w:right w:val="nil"/>
          <w:insideH w:val="nil"/>
          <w:insideV w:val="nil"/>
        </w:tblBorders>
        <w:tblLook w:val="04A0" w:firstRow="1" w:lastRow="0" w:firstColumn="1" w:lastColumn="0" w:noHBand="0" w:noVBand="1"/>
      </w:tblPr>
      <w:tblGrid>
        <w:gridCol w:w="6713"/>
        <w:gridCol w:w="419"/>
        <w:gridCol w:w="3334"/>
      </w:tblGrid>
      <w:tr w:rsidR="00FD5F04" w:rsidRPr="006D75F3" w14:paraId="1AC710C8" w14:textId="77777777" w:rsidTr="00180C50">
        <w:tc>
          <w:tcPr>
            <w:tcW w:w="6713" w:type="dxa"/>
            <w:shd w:val="clear" w:color="auto" w:fill="auto"/>
          </w:tcPr>
          <w:p w14:paraId="5EFB45BB" w14:textId="77777777" w:rsidR="00F96AC2" w:rsidRPr="006D75F3" w:rsidRDefault="00000000" w:rsidP="006D75F3">
            <w:pPr>
              <w:pStyle w:val="Paragraph"/>
              <w:spacing w:after="0" w:line="20" w:lineRule="atLeast"/>
              <w:jc w:val="left"/>
              <w:rPr>
                <w:sz w:val="20"/>
              </w:rPr>
            </w:pPr>
            <w:r w:rsidRPr="006D75F3">
              <w:rPr>
                <w:sz w:val="20"/>
              </w:rPr>
              <w:t>Signed by [</w:t>
            </w:r>
            <w:r w:rsidRPr="006D75F3">
              <w:rPr>
                <w:sz w:val="20"/>
                <w:highlight w:val="yellow"/>
              </w:rPr>
              <w:t>NAME OF DIRECTOR</w:t>
            </w:r>
            <w:r w:rsidRPr="006D75F3">
              <w:rPr>
                <w:sz w:val="20"/>
              </w:rPr>
              <w:t>]</w:t>
            </w:r>
          </w:p>
        </w:tc>
        <w:tc>
          <w:tcPr>
            <w:tcW w:w="419" w:type="dxa"/>
            <w:shd w:val="clear" w:color="auto" w:fill="auto"/>
          </w:tcPr>
          <w:p w14:paraId="68AEFA10" w14:textId="77777777" w:rsidR="00F96AC2" w:rsidRPr="006D75F3" w:rsidRDefault="00F96AC2" w:rsidP="006D75F3">
            <w:pPr>
              <w:pStyle w:val="Paragraph"/>
              <w:spacing w:after="0" w:line="20" w:lineRule="atLeast"/>
              <w:rPr>
                <w:sz w:val="20"/>
              </w:rPr>
            </w:pPr>
          </w:p>
        </w:tc>
        <w:tc>
          <w:tcPr>
            <w:tcW w:w="3334" w:type="dxa"/>
            <w:shd w:val="clear" w:color="auto" w:fill="auto"/>
          </w:tcPr>
          <w:p w14:paraId="1BBC1D91" w14:textId="77777777" w:rsidR="00F96AC2" w:rsidRPr="006D75F3" w:rsidRDefault="00000000" w:rsidP="006D75F3">
            <w:pPr>
              <w:pStyle w:val="Paragraph"/>
              <w:spacing w:after="0" w:line="20" w:lineRule="atLeast"/>
              <w:jc w:val="left"/>
              <w:rPr>
                <w:sz w:val="20"/>
              </w:rPr>
            </w:pPr>
            <w:r w:rsidRPr="006D75F3">
              <w:rPr>
                <w:sz w:val="20"/>
              </w:rPr>
              <w:t>……………….………….…….….</w:t>
            </w:r>
          </w:p>
        </w:tc>
      </w:tr>
      <w:tr w:rsidR="00FD5F04" w:rsidRPr="006D75F3" w14:paraId="05747EBD" w14:textId="77777777" w:rsidTr="00180C50">
        <w:tc>
          <w:tcPr>
            <w:tcW w:w="6713" w:type="dxa"/>
            <w:shd w:val="clear" w:color="auto" w:fill="auto"/>
          </w:tcPr>
          <w:p w14:paraId="7558ED59" w14:textId="5E695720" w:rsidR="00F96AC2" w:rsidRPr="006D75F3" w:rsidRDefault="00000000" w:rsidP="006D75F3">
            <w:pPr>
              <w:pStyle w:val="Paragraph"/>
              <w:spacing w:after="0" w:line="20" w:lineRule="atLeast"/>
              <w:jc w:val="left"/>
              <w:rPr>
                <w:sz w:val="20"/>
              </w:rPr>
            </w:pPr>
            <w:r w:rsidRPr="006D75F3">
              <w:rPr>
                <w:sz w:val="20"/>
              </w:rPr>
              <w:t xml:space="preserve">for and on behalf of </w:t>
            </w:r>
            <w:r w:rsidR="008E54C2">
              <w:rPr>
                <w:sz w:val="20"/>
              </w:rPr>
              <w:t>WREXHAM UNIVERSITY</w:t>
            </w:r>
          </w:p>
          <w:p w14:paraId="378C8643" w14:textId="77777777" w:rsidR="006D75F3" w:rsidRDefault="006D75F3" w:rsidP="006D75F3">
            <w:pPr>
              <w:pStyle w:val="Paragraph"/>
              <w:spacing w:after="0" w:line="20" w:lineRule="atLeast"/>
              <w:jc w:val="left"/>
              <w:rPr>
                <w:sz w:val="20"/>
              </w:rPr>
            </w:pPr>
          </w:p>
          <w:p w14:paraId="3003CEED" w14:textId="77777777" w:rsidR="000C6D5B" w:rsidRDefault="000C6D5B" w:rsidP="006D75F3">
            <w:pPr>
              <w:pStyle w:val="Paragraph"/>
              <w:spacing w:after="0" w:line="20" w:lineRule="atLeast"/>
              <w:jc w:val="left"/>
              <w:rPr>
                <w:sz w:val="20"/>
              </w:rPr>
            </w:pPr>
          </w:p>
          <w:p w14:paraId="5AAF51DF" w14:textId="77777777" w:rsidR="000C6D5B" w:rsidRDefault="000C6D5B" w:rsidP="006D75F3">
            <w:pPr>
              <w:pStyle w:val="Paragraph"/>
              <w:spacing w:after="0" w:line="20" w:lineRule="atLeast"/>
              <w:jc w:val="left"/>
              <w:rPr>
                <w:sz w:val="20"/>
              </w:rPr>
            </w:pPr>
          </w:p>
          <w:p w14:paraId="61DB789C" w14:textId="77777777" w:rsidR="000C6D5B" w:rsidRPr="006D75F3" w:rsidRDefault="000C6D5B" w:rsidP="006D75F3">
            <w:pPr>
              <w:pStyle w:val="Paragraph"/>
              <w:spacing w:after="0" w:line="20" w:lineRule="atLeast"/>
              <w:jc w:val="left"/>
              <w:rPr>
                <w:sz w:val="20"/>
              </w:rPr>
            </w:pPr>
          </w:p>
        </w:tc>
        <w:tc>
          <w:tcPr>
            <w:tcW w:w="419" w:type="dxa"/>
            <w:shd w:val="clear" w:color="auto" w:fill="auto"/>
          </w:tcPr>
          <w:p w14:paraId="3BAEDC1A" w14:textId="77777777" w:rsidR="00F96AC2" w:rsidRPr="006D75F3" w:rsidRDefault="00F96AC2" w:rsidP="006D75F3">
            <w:pPr>
              <w:pStyle w:val="Paragraph"/>
              <w:spacing w:after="0" w:line="20" w:lineRule="atLeast"/>
              <w:rPr>
                <w:sz w:val="20"/>
              </w:rPr>
            </w:pPr>
          </w:p>
        </w:tc>
        <w:tc>
          <w:tcPr>
            <w:tcW w:w="3334" w:type="dxa"/>
            <w:shd w:val="clear" w:color="auto" w:fill="auto"/>
          </w:tcPr>
          <w:p w14:paraId="3E3EACB5" w14:textId="77777777" w:rsidR="00F96AC2" w:rsidRPr="006D75F3" w:rsidRDefault="00000000" w:rsidP="006D75F3">
            <w:pPr>
              <w:pStyle w:val="Paragraph"/>
              <w:spacing w:after="0" w:line="20" w:lineRule="atLeast"/>
              <w:rPr>
                <w:sz w:val="20"/>
              </w:rPr>
            </w:pPr>
            <w:r w:rsidRPr="006D75F3">
              <w:rPr>
                <w:sz w:val="20"/>
              </w:rPr>
              <w:t>Director</w:t>
            </w:r>
          </w:p>
        </w:tc>
      </w:tr>
      <w:tr w:rsidR="00FD5F04" w:rsidRPr="006D75F3" w14:paraId="575F1ACF" w14:textId="77777777" w:rsidTr="00180C50">
        <w:tc>
          <w:tcPr>
            <w:tcW w:w="6713" w:type="dxa"/>
            <w:shd w:val="clear" w:color="auto" w:fill="auto"/>
          </w:tcPr>
          <w:p w14:paraId="612ECA1C" w14:textId="77777777" w:rsidR="00F96AC2" w:rsidRPr="006D75F3" w:rsidRDefault="00000000" w:rsidP="006D75F3">
            <w:pPr>
              <w:pStyle w:val="Paragraph"/>
              <w:spacing w:after="0" w:line="20" w:lineRule="atLeast"/>
              <w:jc w:val="left"/>
              <w:rPr>
                <w:sz w:val="20"/>
              </w:rPr>
            </w:pPr>
            <w:r w:rsidRPr="006D75F3">
              <w:rPr>
                <w:sz w:val="20"/>
              </w:rPr>
              <w:t>Signed by [</w:t>
            </w:r>
            <w:r w:rsidRPr="006D75F3">
              <w:rPr>
                <w:sz w:val="20"/>
                <w:highlight w:val="yellow"/>
              </w:rPr>
              <w:t>NAME OF DIRECTOR</w:t>
            </w:r>
            <w:r w:rsidRPr="006D75F3">
              <w:rPr>
                <w:sz w:val="20"/>
              </w:rPr>
              <w:t>]</w:t>
            </w:r>
          </w:p>
        </w:tc>
        <w:tc>
          <w:tcPr>
            <w:tcW w:w="419" w:type="dxa"/>
            <w:shd w:val="clear" w:color="auto" w:fill="auto"/>
          </w:tcPr>
          <w:p w14:paraId="5B0C8FE1" w14:textId="77777777" w:rsidR="00F96AC2" w:rsidRPr="006D75F3" w:rsidRDefault="00F96AC2" w:rsidP="006D75F3">
            <w:pPr>
              <w:pStyle w:val="Paragraph"/>
              <w:spacing w:after="0" w:line="20" w:lineRule="atLeast"/>
              <w:rPr>
                <w:sz w:val="20"/>
              </w:rPr>
            </w:pPr>
          </w:p>
        </w:tc>
        <w:tc>
          <w:tcPr>
            <w:tcW w:w="3334" w:type="dxa"/>
            <w:shd w:val="clear" w:color="auto" w:fill="auto"/>
          </w:tcPr>
          <w:p w14:paraId="0BF8804F" w14:textId="77777777" w:rsidR="00F96AC2" w:rsidRPr="006D75F3" w:rsidRDefault="00000000" w:rsidP="006D75F3">
            <w:pPr>
              <w:pStyle w:val="Paragraph"/>
              <w:spacing w:after="0" w:line="20" w:lineRule="atLeast"/>
              <w:jc w:val="left"/>
              <w:rPr>
                <w:sz w:val="20"/>
              </w:rPr>
            </w:pPr>
            <w:r w:rsidRPr="006D75F3">
              <w:rPr>
                <w:sz w:val="20"/>
              </w:rPr>
              <w:t>……………….………….…….….</w:t>
            </w:r>
          </w:p>
        </w:tc>
      </w:tr>
      <w:tr w:rsidR="00FD5F04" w:rsidRPr="006D75F3" w14:paraId="05A15C3A" w14:textId="77777777" w:rsidTr="00180C50">
        <w:tc>
          <w:tcPr>
            <w:tcW w:w="6713" w:type="dxa"/>
            <w:shd w:val="clear" w:color="auto" w:fill="auto"/>
          </w:tcPr>
          <w:p w14:paraId="7A867DD3" w14:textId="640FD96D" w:rsidR="00F96AC2" w:rsidRPr="006D75F3" w:rsidRDefault="00000000" w:rsidP="006D75F3">
            <w:pPr>
              <w:pStyle w:val="Paragraph"/>
              <w:spacing w:after="0" w:line="20" w:lineRule="atLeast"/>
              <w:jc w:val="left"/>
              <w:rPr>
                <w:sz w:val="20"/>
              </w:rPr>
            </w:pPr>
            <w:r w:rsidRPr="006D75F3">
              <w:rPr>
                <w:sz w:val="20"/>
              </w:rPr>
              <w:t xml:space="preserve">for and on behalf of </w:t>
            </w:r>
            <w:r w:rsidR="008E54C2">
              <w:rPr>
                <w:sz w:val="20"/>
              </w:rPr>
              <w:t>WREXHAM GLYNDWR STUDENTS’ UNION</w:t>
            </w:r>
          </w:p>
          <w:p w14:paraId="7694554E" w14:textId="77777777" w:rsidR="006D75F3" w:rsidRPr="006D75F3" w:rsidRDefault="006D75F3" w:rsidP="006D75F3">
            <w:pPr>
              <w:pStyle w:val="Paragraph"/>
              <w:spacing w:after="0" w:line="20" w:lineRule="atLeast"/>
              <w:jc w:val="left"/>
              <w:rPr>
                <w:sz w:val="20"/>
              </w:rPr>
            </w:pPr>
          </w:p>
        </w:tc>
        <w:tc>
          <w:tcPr>
            <w:tcW w:w="419" w:type="dxa"/>
            <w:shd w:val="clear" w:color="auto" w:fill="auto"/>
          </w:tcPr>
          <w:p w14:paraId="339996EF" w14:textId="77777777" w:rsidR="00F96AC2" w:rsidRPr="006D75F3" w:rsidRDefault="00F96AC2" w:rsidP="006D75F3">
            <w:pPr>
              <w:pStyle w:val="Paragraph"/>
              <w:spacing w:after="0" w:line="20" w:lineRule="atLeast"/>
              <w:rPr>
                <w:sz w:val="20"/>
              </w:rPr>
            </w:pPr>
          </w:p>
        </w:tc>
        <w:tc>
          <w:tcPr>
            <w:tcW w:w="3334" w:type="dxa"/>
            <w:shd w:val="clear" w:color="auto" w:fill="auto"/>
          </w:tcPr>
          <w:p w14:paraId="26402392" w14:textId="77777777" w:rsidR="00F96AC2" w:rsidRPr="006D75F3" w:rsidRDefault="00000000" w:rsidP="006D75F3">
            <w:pPr>
              <w:pStyle w:val="Paragraph"/>
              <w:spacing w:after="0" w:line="20" w:lineRule="atLeast"/>
              <w:rPr>
                <w:sz w:val="20"/>
              </w:rPr>
            </w:pPr>
            <w:r w:rsidRPr="006D75F3">
              <w:rPr>
                <w:sz w:val="20"/>
              </w:rPr>
              <w:t>Director</w:t>
            </w:r>
          </w:p>
        </w:tc>
      </w:tr>
    </w:tbl>
    <w:p w14:paraId="7AF1FF47" w14:textId="77777777" w:rsidR="00FD5F04" w:rsidRPr="006D75F3" w:rsidRDefault="00FD5F04" w:rsidP="006D75F3">
      <w:pPr>
        <w:spacing w:after="0" w:line="20" w:lineRule="atLeast"/>
        <w:rPr>
          <w:sz w:val="20"/>
          <w:szCs w:val="20"/>
        </w:rPr>
      </w:pPr>
    </w:p>
    <w:sectPr w:rsidR="00FD5F04" w:rsidRPr="006D75F3" w:rsidSect="00704403">
      <w:headerReference w:type="default" r:id="rId12"/>
      <w:footerReference w:type="default" r:id="rId13"/>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556D0" w14:textId="77777777" w:rsidR="00B81006" w:rsidRPr="0075657A" w:rsidRDefault="00B81006">
      <w:pPr>
        <w:spacing w:after="0" w:line="240" w:lineRule="auto"/>
      </w:pPr>
      <w:r w:rsidRPr="0075657A">
        <w:separator/>
      </w:r>
    </w:p>
  </w:endnote>
  <w:endnote w:type="continuationSeparator" w:id="0">
    <w:p w14:paraId="14E56F93" w14:textId="77777777" w:rsidR="00B81006" w:rsidRPr="0075657A" w:rsidRDefault="00B81006">
      <w:pPr>
        <w:spacing w:after="0" w:line="240" w:lineRule="auto"/>
      </w:pPr>
      <w:r w:rsidRPr="007565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011632"/>
      <w:docPartObj>
        <w:docPartGallery w:val="Page Numbers (Bottom of Page)"/>
        <w:docPartUnique/>
      </w:docPartObj>
    </w:sdtPr>
    <w:sdtContent>
      <w:sdt>
        <w:sdtPr>
          <w:id w:val="1728636285"/>
          <w:docPartObj>
            <w:docPartGallery w:val="Page Numbers (Top of Page)"/>
            <w:docPartUnique/>
          </w:docPartObj>
        </w:sdtPr>
        <w:sdtContent>
          <w:p w14:paraId="1B2DC424" w14:textId="27EDC48A" w:rsidR="00FD5F04" w:rsidRPr="0075657A" w:rsidRDefault="001632FB" w:rsidP="00260EAB">
            <w:pPr>
              <w:pStyle w:val="Footer"/>
              <w:jc w:val="center"/>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534EC" w14:textId="77777777" w:rsidR="00B81006" w:rsidRPr="0075657A" w:rsidRDefault="00B81006">
      <w:pPr>
        <w:spacing w:after="0" w:line="240" w:lineRule="auto"/>
      </w:pPr>
      <w:r w:rsidRPr="0075657A">
        <w:separator/>
      </w:r>
    </w:p>
  </w:footnote>
  <w:footnote w:type="continuationSeparator" w:id="0">
    <w:p w14:paraId="143B49E4" w14:textId="77777777" w:rsidR="00B81006" w:rsidRPr="0075657A" w:rsidRDefault="00B81006">
      <w:pPr>
        <w:spacing w:after="0" w:line="240" w:lineRule="auto"/>
      </w:pPr>
      <w:r w:rsidRPr="007565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90E5" w14:textId="4EEA7B14" w:rsidR="006D75F3" w:rsidRDefault="006D75F3" w:rsidP="006D75F3">
    <w:pPr>
      <w:pStyle w:val="Header"/>
      <w:jc w:val="right"/>
    </w:pPr>
    <w:r>
      <w:rPr>
        <w:b/>
        <w:bCs/>
        <w:noProof/>
        <w:sz w:val="20"/>
      </w:rPr>
      <w:drawing>
        <wp:inline distT="0" distB="0" distL="0" distR="0" wp14:anchorId="148097D8" wp14:editId="244DEA53">
          <wp:extent cx="2409190" cy="531513"/>
          <wp:effectExtent l="0" t="0" r="0" b="1905"/>
          <wp:docPr id="1817921298"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21298" name="Picture 1" descr="A blue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47615" cy="5399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0DEC7082"/>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i w:val="0"/>
        <w:iCs/>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253412"/>
    <w:multiLevelType w:val="hybridMultilevel"/>
    <w:tmpl w:val="960CC850"/>
    <w:lvl w:ilvl="0" w:tplc="817AC05E">
      <w:start w:val="1"/>
      <w:numFmt w:val="bullet"/>
      <w:pStyle w:val="DefinedTermBullet"/>
      <w:lvlText w:val=""/>
      <w:lvlJc w:val="left"/>
      <w:pPr>
        <w:ind w:left="1440" w:hanging="360"/>
      </w:pPr>
      <w:rPr>
        <w:rFonts w:ascii="Symbol" w:hAnsi="Symbol" w:hint="default"/>
        <w:color w:val="000000"/>
      </w:rPr>
    </w:lvl>
    <w:lvl w:ilvl="1" w:tplc="61800050" w:tentative="1">
      <w:start w:val="1"/>
      <w:numFmt w:val="bullet"/>
      <w:lvlText w:val="o"/>
      <w:lvlJc w:val="left"/>
      <w:pPr>
        <w:ind w:left="2160" w:hanging="360"/>
      </w:pPr>
      <w:rPr>
        <w:rFonts w:ascii="Courier New" w:hAnsi="Courier New" w:cs="Courier New" w:hint="default"/>
      </w:rPr>
    </w:lvl>
    <w:lvl w:ilvl="2" w:tplc="66AA1154" w:tentative="1">
      <w:start w:val="1"/>
      <w:numFmt w:val="bullet"/>
      <w:lvlText w:val=""/>
      <w:lvlJc w:val="left"/>
      <w:pPr>
        <w:ind w:left="2880" w:hanging="360"/>
      </w:pPr>
      <w:rPr>
        <w:rFonts w:ascii="Wingdings" w:hAnsi="Wingdings" w:hint="default"/>
      </w:rPr>
    </w:lvl>
    <w:lvl w:ilvl="3" w:tplc="44562022" w:tentative="1">
      <w:start w:val="1"/>
      <w:numFmt w:val="bullet"/>
      <w:lvlText w:val=""/>
      <w:lvlJc w:val="left"/>
      <w:pPr>
        <w:ind w:left="3600" w:hanging="360"/>
      </w:pPr>
      <w:rPr>
        <w:rFonts w:ascii="Symbol" w:hAnsi="Symbol" w:hint="default"/>
      </w:rPr>
    </w:lvl>
    <w:lvl w:ilvl="4" w:tplc="416655A8" w:tentative="1">
      <w:start w:val="1"/>
      <w:numFmt w:val="bullet"/>
      <w:lvlText w:val="o"/>
      <w:lvlJc w:val="left"/>
      <w:pPr>
        <w:ind w:left="4320" w:hanging="360"/>
      </w:pPr>
      <w:rPr>
        <w:rFonts w:ascii="Courier New" w:hAnsi="Courier New" w:cs="Courier New" w:hint="default"/>
      </w:rPr>
    </w:lvl>
    <w:lvl w:ilvl="5" w:tplc="8B408AAE" w:tentative="1">
      <w:start w:val="1"/>
      <w:numFmt w:val="bullet"/>
      <w:lvlText w:val=""/>
      <w:lvlJc w:val="left"/>
      <w:pPr>
        <w:ind w:left="5040" w:hanging="360"/>
      </w:pPr>
      <w:rPr>
        <w:rFonts w:ascii="Wingdings" w:hAnsi="Wingdings" w:hint="default"/>
      </w:rPr>
    </w:lvl>
    <w:lvl w:ilvl="6" w:tplc="A2F4004A" w:tentative="1">
      <w:start w:val="1"/>
      <w:numFmt w:val="bullet"/>
      <w:lvlText w:val=""/>
      <w:lvlJc w:val="left"/>
      <w:pPr>
        <w:ind w:left="5760" w:hanging="360"/>
      </w:pPr>
      <w:rPr>
        <w:rFonts w:ascii="Symbol" w:hAnsi="Symbol" w:hint="default"/>
      </w:rPr>
    </w:lvl>
    <w:lvl w:ilvl="7" w:tplc="93EE7EBA" w:tentative="1">
      <w:start w:val="1"/>
      <w:numFmt w:val="bullet"/>
      <w:lvlText w:val="o"/>
      <w:lvlJc w:val="left"/>
      <w:pPr>
        <w:ind w:left="6480" w:hanging="360"/>
      </w:pPr>
      <w:rPr>
        <w:rFonts w:ascii="Courier New" w:hAnsi="Courier New" w:cs="Courier New" w:hint="default"/>
      </w:rPr>
    </w:lvl>
    <w:lvl w:ilvl="8" w:tplc="43E28D7A" w:tentative="1">
      <w:start w:val="1"/>
      <w:numFmt w:val="bullet"/>
      <w:lvlText w:val=""/>
      <w:lvlJc w:val="left"/>
      <w:pPr>
        <w:ind w:left="7200" w:hanging="360"/>
      </w:pPr>
      <w:rPr>
        <w:rFonts w:ascii="Wingdings" w:hAnsi="Wingdings" w:hint="default"/>
      </w:rPr>
    </w:lvl>
  </w:abstractNum>
  <w:abstractNum w:abstractNumId="2" w15:restartNumberingAfterBreak="0">
    <w:nsid w:val="11825EA9"/>
    <w:multiLevelType w:val="multilevel"/>
    <w:tmpl w:val="B5EA651E"/>
    <w:lvl w:ilvl="0">
      <w:start w:val="1"/>
      <w:numFmt w:val="decimal"/>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0CB36DB"/>
    <w:multiLevelType w:val="hybridMultilevel"/>
    <w:tmpl w:val="56A463B0"/>
    <w:lvl w:ilvl="0" w:tplc="34C015F8">
      <w:start w:val="1"/>
      <w:numFmt w:val="bullet"/>
      <w:lvlText w:val=""/>
      <w:lvlJc w:val="left"/>
      <w:pPr>
        <w:ind w:left="720" w:hanging="360"/>
      </w:pPr>
      <w:rPr>
        <w:rFonts w:ascii="Symbol" w:hAnsi="Symbol" w:hint="default"/>
        <w:color w:val="000000"/>
      </w:rPr>
    </w:lvl>
    <w:lvl w:ilvl="1" w:tplc="454263A0">
      <w:start w:val="1"/>
      <w:numFmt w:val="bullet"/>
      <w:lvlText w:val="o"/>
      <w:lvlJc w:val="left"/>
      <w:pPr>
        <w:ind w:left="1440" w:hanging="360"/>
      </w:pPr>
      <w:rPr>
        <w:rFonts w:ascii="Courier New" w:hAnsi="Courier New" w:cs="Courier New" w:hint="default"/>
      </w:rPr>
    </w:lvl>
    <w:lvl w:ilvl="2" w:tplc="84C87960">
      <w:start w:val="1"/>
      <w:numFmt w:val="bullet"/>
      <w:lvlText w:val=""/>
      <w:lvlJc w:val="left"/>
      <w:pPr>
        <w:ind w:left="2160" w:hanging="360"/>
      </w:pPr>
      <w:rPr>
        <w:rFonts w:ascii="Wingdings" w:hAnsi="Wingdings" w:hint="default"/>
      </w:rPr>
    </w:lvl>
    <w:lvl w:ilvl="3" w:tplc="F71A376E">
      <w:start w:val="1"/>
      <w:numFmt w:val="bullet"/>
      <w:lvlText w:val=""/>
      <w:lvlJc w:val="left"/>
      <w:pPr>
        <w:ind w:left="2880" w:hanging="360"/>
      </w:pPr>
      <w:rPr>
        <w:rFonts w:ascii="Symbol" w:hAnsi="Symbol" w:hint="default"/>
      </w:rPr>
    </w:lvl>
    <w:lvl w:ilvl="4" w:tplc="E2069486">
      <w:start w:val="1"/>
      <w:numFmt w:val="bullet"/>
      <w:lvlText w:val="o"/>
      <w:lvlJc w:val="left"/>
      <w:pPr>
        <w:ind w:left="3600" w:hanging="360"/>
      </w:pPr>
      <w:rPr>
        <w:rFonts w:ascii="Courier New" w:hAnsi="Courier New" w:cs="Courier New" w:hint="default"/>
      </w:rPr>
    </w:lvl>
    <w:lvl w:ilvl="5" w:tplc="593CCC90">
      <w:start w:val="1"/>
      <w:numFmt w:val="bullet"/>
      <w:lvlText w:val=""/>
      <w:lvlJc w:val="left"/>
      <w:pPr>
        <w:ind w:left="4320" w:hanging="360"/>
      </w:pPr>
      <w:rPr>
        <w:rFonts w:ascii="Wingdings" w:hAnsi="Wingdings" w:hint="default"/>
      </w:rPr>
    </w:lvl>
    <w:lvl w:ilvl="6" w:tplc="280810F2">
      <w:start w:val="1"/>
      <w:numFmt w:val="bullet"/>
      <w:lvlText w:val=""/>
      <w:lvlJc w:val="left"/>
      <w:pPr>
        <w:ind w:left="5040" w:hanging="360"/>
      </w:pPr>
      <w:rPr>
        <w:rFonts w:ascii="Symbol" w:hAnsi="Symbol" w:hint="default"/>
      </w:rPr>
    </w:lvl>
    <w:lvl w:ilvl="7" w:tplc="711EFAB6">
      <w:start w:val="1"/>
      <w:numFmt w:val="bullet"/>
      <w:lvlText w:val="o"/>
      <w:lvlJc w:val="left"/>
      <w:pPr>
        <w:ind w:left="5760" w:hanging="360"/>
      </w:pPr>
      <w:rPr>
        <w:rFonts w:ascii="Courier New" w:hAnsi="Courier New" w:cs="Courier New" w:hint="default"/>
      </w:rPr>
    </w:lvl>
    <w:lvl w:ilvl="8" w:tplc="D2F80A36">
      <w:start w:val="1"/>
      <w:numFmt w:val="bullet"/>
      <w:lvlText w:val=""/>
      <w:lvlJc w:val="left"/>
      <w:pPr>
        <w:ind w:left="6480" w:hanging="360"/>
      </w:pPr>
      <w:rPr>
        <w:rFonts w:ascii="Wingdings" w:hAnsi="Wingdings" w:hint="default"/>
      </w:rPr>
    </w:lvl>
  </w:abstractNum>
  <w:abstractNum w:abstractNumId="4" w15:restartNumberingAfterBreak="0">
    <w:nsid w:val="20E82F3A"/>
    <w:multiLevelType w:val="hybridMultilevel"/>
    <w:tmpl w:val="1DF80854"/>
    <w:lvl w:ilvl="0" w:tplc="085E55D0">
      <w:start w:val="1"/>
      <w:numFmt w:val="decimal"/>
      <w:pStyle w:val="ScheduleHeading-Single"/>
      <w:lvlText w:val="Schedule"/>
      <w:lvlJc w:val="left"/>
      <w:pPr>
        <w:tabs>
          <w:tab w:val="num" w:pos="720"/>
        </w:tabs>
        <w:ind w:left="720" w:hanging="720"/>
      </w:pPr>
      <w:rPr>
        <w:color w:val="000000"/>
      </w:rPr>
    </w:lvl>
    <w:lvl w:ilvl="1" w:tplc="5EAC7780" w:tentative="1">
      <w:start w:val="1"/>
      <w:numFmt w:val="lowerLetter"/>
      <w:lvlText w:val="%2."/>
      <w:lvlJc w:val="left"/>
      <w:pPr>
        <w:tabs>
          <w:tab w:val="num" w:pos="1440"/>
        </w:tabs>
        <w:ind w:left="1440" w:hanging="360"/>
      </w:pPr>
    </w:lvl>
    <w:lvl w:ilvl="2" w:tplc="D044641E" w:tentative="1">
      <w:start w:val="1"/>
      <w:numFmt w:val="lowerRoman"/>
      <w:lvlText w:val="%3."/>
      <w:lvlJc w:val="right"/>
      <w:pPr>
        <w:tabs>
          <w:tab w:val="num" w:pos="2160"/>
        </w:tabs>
        <w:ind w:left="2160" w:hanging="180"/>
      </w:pPr>
    </w:lvl>
    <w:lvl w:ilvl="3" w:tplc="6D083A7A" w:tentative="1">
      <w:start w:val="1"/>
      <w:numFmt w:val="decimal"/>
      <w:lvlText w:val="%4."/>
      <w:lvlJc w:val="left"/>
      <w:pPr>
        <w:tabs>
          <w:tab w:val="num" w:pos="2880"/>
        </w:tabs>
        <w:ind w:left="2880" w:hanging="360"/>
      </w:pPr>
    </w:lvl>
    <w:lvl w:ilvl="4" w:tplc="CF987902" w:tentative="1">
      <w:start w:val="1"/>
      <w:numFmt w:val="lowerLetter"/>
      <w:lvlText w:val="%5."/>
      <w:lvlJc w:val="left"/>
      <w:pPr>
        <w:tabs>
          <w:tab w:val="num" w:pos="3600"/>
        </w:tabs>
        <w:ind w:left="3600" w:hanging="360"/>
      </w:pPr>
    </w:lvl>
    <w:lvl w:ilvl="5" w:tplc="E7682588" w:tentative="1">
      <w:start w:val="1"/>
      <w:numFmt w:val="lowerRoman"/>
      <w:lvlText w:val="%6."/>
      <w:lvlJc w:val="right"/>
      <w:pPr>
        <w:tabs>
          <w:tab w:val="num" w:pos="4320"/>
        </w:tabs>
        <w:ind w:left="4320" w:hanging="180"/>
      </w:pPr>
    </w:lvl>
    <w:lvl w:ilvl="6" w:tplc="5BA2E9A8" w:tentative="1">
      <w:start w:val="1"/>
      <w:numFmt w:val="decimal"/>
      <w:lvlText w:val="%7."/>
      <w:lvlJc w:val="left"/>
      <w:pPr>
        <w:tabs>
          <w:tab w:val="num" w:pos="5040"/>
        </w:tabs>
        <w:ind w:left="5040" w:hanging="360"/>
      </w:pPr>
    </w:lvl>
    <w:lvl w:ilvl="7" w:tplc="617C4C6C" w:tentative="1">
      <w:start w:val="1"/>
      <w:numFmt w:val="lowerLetter"/>
      <w:lvlText w:val="%8."/>
      <w:lvlJc w:val="left"/>
      <w:pPr>
        <w:tabs>
          <w:tab w:val="num" w:pos="5760"/>
        </w:tabs>
        <w:ind w:left="5760" w:hanging="360"/>
      </w:pPr>
    </w:lvl>
    <w:lvl w:ilvl="8" w:tplc="43FCA822" w:tentative="1">
      <w:start w:val="1"/>
      <w:numFmt w:val="lowerRoman"/>
      <w:lvlText w:val="%9."/>
      <w:lvlJc w:val="right"/>
      <w:pPr>
        <w:tabs>
          <w:tab w:val="num" w:pos="6480"/>
        </w:tabs>
        <w:ind w:left="6480" w:hanging="180"/>
      </w:pPr>
    </w:lvl>
  </w:abstractNum>
  <w:abstractNum w:abstractNumId="5" w15:restartNumberingAfterBreak="0">
    <w:nsid w:val="25B00E4C"/>
    <w:multiLevelType w:val="hybridMultilevel"/>
    <w:tmpl w:val="97C4AA26"/>
    <w:lvl w:ilvl="0" w:tplc="06C64574">
      <w:start w:val="1"/>
      <w:numFmt w:val="upperLetter"/>
      <w:pStyle w:val="Annex"/>
      <w:lvlText w:val="ANNEX %1"/>
      <w:lvlJc w:val="left"/>
      <w:pPr>
        <w:ind w:left="720" w:hanging="360"/>
      </w:pPr>
      <w:rPr>
        <w:rFonts w:cs="Times New Roman" w:hint="default"/>
        <w:b/>
        <w:bCs w:val="0"/>
        <w:i w:val="0"/>
        <w:iCs w:val="0"/>
        <w:caps w:val="0"/>
        <w:strike w:val="0"/>
        <w:dstrike w:val="0"/>
        <w:outline w:val="0"/>
        <w:shadow w:val="0"/>
        <w:emboss w:val="0"/>
        <w:imprint w:val="0"/>
        <w:vanish w:val="0"/>
        <w:color w:val="000000"/>
        <w:spacing w:val="0"/>
        <w:kern w:val="0"/>
        <w:position w:val="0"/>
        <w:u w:val="none"/>
        <w:effect w:val="none"/>
        <w:vertAlign w:val="baseline"/>
        <w14:ligatures w14:val="none"/>
        <w14:numForm w14:val="default"/>
        <w14:numSpacing w14:val="default"/>
        <w14:stylisticSets/>
        <w14:cntxtAlts w14:val="0"/>
      </w:rPr>
    </w:lvl>
    <w:lvl w:ilvl="1" w:tplc="F8961328" w:tentative="1">
      <w:start w:val="1"/>
      <w:numFmt w:val="lowerLetter"/>
      <w:lvlText w:val="%2."/>
      <w:lvlJc w:val="left"/>
      <w:pPr>
        <w:ind w:left="1440" w:hanging="360"/>
      </w:pPr>
    </w:lvl>
    <w:lvl w:ilvl="2" w:tplc="5D0024F2" w:tentative="1">
      <w:start w:val="1"/>
      <w:numFmt w:val="lowerRoman"/>
      <w:lvlText w:val="%3."/>
      <w:lvlJc w:val="right"/>
      <w:pPr>
        <w:ind w:left="2160" w:hanging="180"/>
      </w:pPr>
    </w:lvl>
    <w:lvl w:ilvl="3" w:tplc="E3107ABC" w:tentative="1">
      <w:start w:val="1"/>
      <w:numFmt w:val="decimal"/>
      <w:lvlText w:val="%4."/>
      <w:lvlJc w:val="left"/>
      <w:pPr>
        <w:ind w:left="2880" w:hanging="360"/>
      </w:pPr>
    </w:lvl>
    <w:lvl w:ilvl="4" w:tplc="E1D64ED6" w:tentative="1">
      <w:start w:val="1"/>
      <w:numFmt w:val="lowerLetter"/>
      <w:lvlText w:val="%5."/>
      <w:lvlJc w:val="left"/>
      <w:pPr>
        <w:ind w:left="3600" w:hanging="360"/>
      </w:pPr>
    </w:lvl>
    <w:lvl w:ilvl="5" w:tplc="C8C4A67E" w:tentative="1">
      <w:start w:val="1"/>
      <w:numFmt w:val="lowerRoman"/>
      <w:lvlText w:val="%6."/>
      <w:lvlJc w:val="right"/>
      <w:pPr>
        <w:ind w:left="4320" w:hanging="180"/>
      </w:pPr>
    </w:lvl>
    <w:lvl w:ilvl="6" w:tplc="BC6E49FE" w:tentative="1">
      <w:start w:val="1"/>
      <w:numFmt w:val="decimal"/>
      <w:lvlText w:val="%7."/>
      <w:lvlJc w:val="left"/>
      <w:pPr>
        <w:ind w:left="5040" w:hanging="360"/>
      </w:pPr>
    </w:lvl>
    <w:lvl w:ilvl="7" w:tplc="0CCADCAE" w:tentative="1">
      <w:start w:val="1"/>
      <w:numFmt w:val="lowerLetter"/>
      <w:lvlText w:val="%8."/>
      <w:lvlJc w:val="left"/>
      <w:pPr>
        <w:ind w:left="5760" w:hanging="360"/>
      </w:pPr>
    </w:lvl>
    <w:lvl w:ilvl="8" w:tplc="BA9218A0" w:tentative="1">
      <w:start w:val="1"/>
      <w:numFmt w:val="lowerRoman"/>
      <w:lvlText w:val="%9."/>
      <w:lvlJc w:val="right"/>
      <w:pPr>
        <w:ind w:left="6480" w:hanging="180"/>
      </w:pPr>
    </w:lvl>
  </w:abstractNum>
  <w:abstractNum w:abstractNumId="6" w15:restartNumberingAfterBreak="0">
    <w:nsid w:val="29C94F29"/>
    <w:multiLevelType w:val="hybridMultilevel"/>
    <w:tmpl w:val="4CBC2A34"/>
    <w:lvl w:ilvl="0" w:tplc="6EFC5680">
      <w:start w:val="1"/>
      <w:numFmt w:val="decimal"/>
      <w:pStyle w:val="QuestionParagraph"/>
      <w:lvlText w:val="%1."/>
      <w:lvlJc w:val="left"/>
      <w:pPr>
        <w:ind w:left="720" w:hanging="360"/>
      </w:pPr>
      <w:rPr>
        <w:color w:val="000000"/>
      </w:rPr>
    </w:lvl>
    <w:lvl w:ilvl="1" w:tplc="F75E789A" w:tentative="1">
      <w:start w:val="1"/>
      <w:numFmt w:val="lowerLetter"/>
      <w:lvlText w:val="%2."/>
      <w:lvlJc w:val="left"/>
      <w:pPr>
        <w:ind w:left="1440" w:hanging="360"/>
      </w:pPr>
    </w:lvl>
    <w:lvl w:ilvl="2" w:tplc="3968A202" w:tentative="1">
      <w:start w:val="1"/>
      <w:numFmt w:val="lowerRoman"/>
      <w:lvlText w:val="%3."/>
      <w:lvlJc w:val="right"/>
      <w:pPr>
        <w:ind w:left="2160" w:hanging="180"/>
      </w:pPr>
    </w:lvl>
    <w:lvl w:ilvl="3" w:tplc="D2D00118" w:tentative="1">
      <w:start w:val="1"/>
      <w:numFmt w:val="decimal"/>
      <w:lvlText w:val="%4."/>
      <w:lvlJc w:val="left"/>
      <w:pPr>
        <w:ind w:left="2880" w:hanging="360"/>
      </w:pPr>
    </w:lvl>
    <w:lvl w:ilvl="4" w:tplc="3BEAE570" w:tentative="1">
      <w:start w:val="1"/>
      <w:numFmt w:val="lowerLetter"/>
      <w:lvlText w:val="%5."/>
      <w:lvlJc w:val="left"/>
      <w:pPr>
        <w:ind w:left="3600" w:hanging="360"/>
      </w:pPr>
    </w:lvl>
    <w:lvl w:ilvl="5" w:tplc="8F82080C" w:tentative="1">
      <w:start w:val="1"/>
      <w:numFmt w:val="lowerRoman"/>
      <w:lvlText w:val="%6."/>
      <w:lvlJc w:val="right"/>
      <w:pPr>
        <w:ind w:left="4320" w:hanging="180"/>
      </w:pPr>
    </w:lvl>
    <w:lvl w:ilvl="6" w:tplc="26E8FA28" w:tentative="1">
      <w:start w:val="1"/>
      <w:numFmt w:val="decimal"/>
      <w:lvlText w:val="%7."/>
      <w:lvlJc w:val="left"/>
      <w:pPr>
        <w:ind w:left="5040" w:hanging="360"/>
      </w:pPr>
    </w:lvl>
    <w:lvl w:ilvl="7" w:tplc="5A6EBD2C" w:tentative="1">
      <w:start w:val="1"/>
      <w:numFmt w:val="lowerLetter"/>
      <w:lvlText w:val="%8."/>
      <w:lvlJc w:val="left"/>
      <w:pPr>
        <w:ind w:left="5760" w:hanging="360"/>
      </w:pPr>
    </w:lvl>
    <w:lvl w:ilvl="8" w:tplc="C08ADE5E" w:tentative="1">
      <w:start w:val="1"/>
      <w:numFmt w:val="lowerRoman"/>
      <w:lvlText w:val="%9."/>
      <w:lvlJc w:val="right"/>
      <w:pPr>
        <w:ind w:left="6480" w:hanging="180"/>
      </w:pPr>
    </w:lvl>
  </w:abstractNum>
  <w:abstractNum w:abstractNumId="7" w15:restartNumberingAfterBreak="0">
    <w:nsid w:val="310416CA"/>
    <w:multiLevelType w:val="hybridMultilevel"/>
    <w:tmpl w:val="072EDEC8"/>
    <w:lvl w:ilvl="0" w:tplc="BF4EB3CE">
      <w:start w:val="1"/>
      <w:numFmt w:val="bullet"/>
      <w:pStyle w:val="subclause2Bullet2"/>
      <w:lvlText w:val=""/>
      <w:lvlJc w:val="left"/>
      <w:pPr>
        <w:ind w:left="2279" w:hanging="360"/>
      </w:pPr>
      <w:rPr>
        <w:rFonts w:ascii="Symbol" w:hAnsi="Symbol" w:hint="default"/>
        <w:color w:val="000000"/>
      </w:rPr>
    </w:lvl>
    <w:lvl w:ilvl="1" w:tplc="69BE1BF4" w:tentative="1">
      <w:start w:val="1"/>
      <w:numFmt w:val="bullet"/>
      <w:lvlText w:val="o"/>
      <w:lvlJc w:val="left"/>
      <w:pPr>
        <w:ind w:left="2999" w:hanging="360"/>
      </w:pPr>
      <w:rPr>
        <w:rFonts w:ascii="Courier New" w:hAnsi="Courier New" w:cs="Courier New" w:hint="default"/>
      </w:rPr>
    </w:lvl>
    <w:lvl w:ilvl="2" w:tplc="DD70B6F2" w:tentative="1">
      <w:start w:val="1"/>
      <w:numFmt w:val="bullet"/>
      <w:lvlText w:val=""/>
      <w:lvlJc w:val="left"/>
      <w:pPr>
        <w:ind w:left="3719" w:hanging="360"/>
      </w:pPr>
      <w:rPr>
        <w:rFonts w:ascii="Wingdings" w:hAnsi="Wingdings" w:hint="default"/>
      </w:rPr>
    </w:lvl>
    <w:lvl w:ilvl="3" w:tplc="0D42FA88" w:tentative="1">
      <w:start w:val="1"/>
      <w:numFmt w:val="bullet"/>
      <w:lvlText w:val=""/>
      <w:lvlJc w:val="left"/>
      <w:pPr>
        <w:ind w:left="4439" w:hanging="360"/>
      </w:pPr>
      <w:rPr>
        <w:rFonts w:ascii="Symbol" w:hAnsi="Symbol" w:hint="default"/>
      </w:rPr>
    </w:lvl>
    <w:lvl w:ilvl="4" w:tplc="C69AA0EE" w:tentative="1">
      <w:start w:val="1"/>
      <w:numFmt w:val="bullet"/>
      <w:lvlText w:val="o"/>
      <w:lvlJc w:val="left"/>
      <w:pPr>
        <w:ind w:left="5159" w:hanging="360"/>
      </w:pPr>
      <w:rPr>
        <w:rFonts w:ascii="Courier New" w:hAnsi="Courier New" w:cs="Courier New" w:hint="default"/>
      </w:rPr>
    </w:lvl>
    <w:lvl w:ilvl="5" w:tplc="76F89B2E" w:tentative="1">
      <w:start w:val="1"/>
      <w:numFmt w:val="bullet"/>
      <w:lvlText w:val=""/>
      <w:lvlJc w:val="left"/>
      <w:pPr>
        <w:ind w:left="5879" w:hanging="360"/>
      </w:pPr>
      <w:rPr>
        <w:rFonts w:ascii="Wingdings" w:hAnsi="Wingdings" w:hint="default"/>
      </w:rPr>
    </w:lvl>
    <w:lvl w:ilvl="6" w:tplc="A05C731A" w:tentative="1">
      <w:start w:val="1"/>
      <w:numFmt w:val="bullet"/>
      <w:lvlText w:val=""/>
      <w:lvlJc w:val="left"/>
      <w:pPr>
        <w:ind w:left="6599" w:hanging="360"/>
      </w:pPr>
      <w:rPr>
        <w:rFonts w:ascii="Symbol" w:hAnsi="Symbol" w:hint="default"/>
      </w:rPr>
    </w:lvl>
    <w:lvl w:ilvl="7" w:tplc="2C120BD8" w:tentative="1">
      <w:start w:val="1"/>
      <w:numFmt w:val="bullet"/>
      <w:lvlText w:val="o"/>
      <w:lvlJc w:val="left"/>
      <w:pPr>
        <w:ind w:left="7319" w:hanging="360"/>
      </w:pPr>
      <w:rPr>
        <w:rFonts w:ascii="Courier New" w:hAnsi="Courier New" w:cs="Courier New" w:hint="default"/>
      </w:rPr>
    </w:lvl>
    <w:lvl w:ilvl="8" w:tplc="A7D2AEC0" w:tentative="1">
      <w:start w:val="1"/>
      <w:numFmt w:val="bullet"/>
      <w:lvlText w:val=""/>
      <w:lvlJc w:val="left"/>
      <w:pPr>
        <w:ind w:left="8039" w:hanging="360"/>
      </w:pPr>
      <w:rPr>
        <w:rFonts w:ascii="Wingdings" w:hAnsi="Wingdings" w:hint="default"/>
      </w:rPr>
    </w:lvl>
  </w:abstractNum>
  <w:abstractNum w:abstractNumId="8" w15:restartNumberingAfterBreak="0">
    <w:nsid w:val="31E9741F"/>
    <w:multiLevelType w:val="hybridMultilevel"/>
    <w:tmpl w:val="0CAC7D4E"/>
    <w:lvl w:ilvl="0" w:tplc="B79EAA82">
      <w:start w:val="1"/>
      <w:numFmt w:val="bullet"/>
      <w:pStyle w:val="BulletList2"/>
      <w:lvlText w:val=""/>
      <w:lvlJc w:val="left"/>
      <w:pPr>
        <w:tabs>
          <w:tab w:val="num" w:pos="1077"/>
        </w:tabs>
        <w:ind w:left="1077" w:hanging="357"/>
      </w:pPr>
      <w:rPr>
        <w:rFonts w:ascii="Symbol" w:hAnsi="Symbol" w:hint="default"/>
        <w:color w:val="000000"/>
      </w:rPr>
    </w:lvl>
    <w:lvl w:ilvl="1" w:tplc="A84ACECE" w:tentative="1">
      <w:start w:val="1"/>
      <w:numFmt w:val="bullet"/>
      <w:lvlText w:val="o"/>
      <w:lvlJc w:val="left"/>
      <w:pPr>
        <w:tabs>
          <w:tab w:val="num" w:pos="1440"/>
        </w:tabs>
        <w:ind w:left="1440" w:hanging="360"/>
      </w:pPr>
      <w:rPr>
        <w:rFonts w:ascii="Courier New" w:hAnsi="Courier New" w:cs="Courier New" w:hint="default"/>
      </w:rPr>
    </w:lvl>
    <w:lvl w:ilvl="2" w:tplc="2C286FFA" w:tentative="1">
      <w:start w:val="1"/>
      <w:numFmt w:val="bullet"/>
      <w:lvlText w:val=""/>
      <w:lvlJc w:val="left"/>
      <w:pPr>
        <w:tabs>
          <w:tab w:val="num" w:pos="2160"/>
        </w:tabs>
        <w:ind w:left="2160" w:hanging="360"/>
      </w:pPr>
      <w:rPr>
        <w:rFonts w:ascii="Wingdings" w:hAnsi="Wingdings" w:hint="default"/>
      </w:rPr>
    </w:lvl>
    <w:lvl w:ilvl="3" w:tplc="3F8415C6" w:tentative="1">
      <w:start w:val="1"/>
      <w:numFmt w:val="bullet"/>
      <w:lvlText w:val=""/>
      <w:lvlJc w:val="left"/>
      <w:pPr>
        <w:tabs>
          <w:tab w:val="num" w:pos="2880"/>
        </w:tabs>
        <w:ind w:left="2880" w:hanging="360"/>
      </w:pPr>
      <w:rPr>
        <w:rFonts w:ascii="Symbol" w:hAnsi="Symbol" w:hint="default"/>
      </w:rPr>
    </w:lvl>
    <w:lvl w:ilvl="4" w:tplc="C2523716" w:tentative="1">
      <w:start w:val="1"/>
      <w:numFmt w:val="bullet"/>
      <w:lvlText w:val="o"/>
      <w:lvlJc w:val="left"/>
      <w:pPr>
        <w:tabs>
          <w:tab w:val="num" w:pos="3600"/>
        </w:tabs>
        <w:ind w:left="3600" w:hanging="360"/>
      </w:pPr>
      <w:rPr>
        <w:rFonts w:ascii="Courier New" w:hAnsi="Courier New" w:cs="Courier New" w:hint="default"/>
      </w:rPr>
    </w:lvl>
    <w:lvl w:ilvl="5" w:tplc="B2A611DC" w:tentative="1">
      <w:start w:val="1"/>
      <w:numFmt w:val="bullet"/>
      <w:lvlText w:val=""/>
      <w:lvlJc w:val="left"/>
      <w:pPr>
        <w:tabs>
          <w:tab w:val="num" w:pos="4320"/>
        </w:tabs>
        <w:ind w:left="4320" w:hanging="360"/>
      </w:pPr>
      <w:rPr>
        <w:rFonts w:ascii="Wingdings" w:hAnsi="Wingdings" w:hint="default"/>
      </w:rPr>
    </w:lvl>
    <w:lvl w:ilvl="6" w:tplc="87B6FAB2" w:tentative="1">
      <w:start w:val="1"/>
      <w:numFmt w:val="bullet"/>
      <w:lvlText w:val=""/>
      <w:lvlJc w:val="left"/>
      <w:pPr>
        <w:tabs>
          <w:tab w:val="num" w:pos="5040"/>
        </w:tabs>
        <w:ind w:left="5040" w:hanging="360"/>
      </w:pPr>
      <w:rPr>
        <w:rFonts w:ascii="Symbol" w:hAnsi="Symbol" w:hint="default"/>
      </w:rPr>
    </w:lvl>
    <w:lvl w:ilvl="7" w:tplc="2D5A4C1E" w:tentative="1">
      <w:start w:val="1"/>
      <w:numFmt w:val="bullet"/>
      <w:lvlText w:val="o"/>
      <w:lvlJc w:val="left"/>
      <w:pPr>
        <w:tabs>
          <w:tab w:val="num" w:pos="5760"/>
        </w:tabs>
        <w:ind w:left="5760" w:hanging="360"/>
      </w:pPr>
      <w:rPr>
        <w:rFonts w:ascii="Courier New" w:hAnsi="Courier New" w:cs="Courier New" w:hint="default"/>
      </w:rPr>
    </w:lvl>
    <w:lvl w:ilvl="8" w:tplc="71DEE7F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C668D"/>
    <w:multiLevelType w:val="hybridMultilevel"/>
    <w:tmpl w:val="594C4DAE"/>
    <w:lvl w:ilvl="0" w:tplc="D03C3274">
      <w:start w:val="1"/>
      <w:numFmt w:val="bullet"/>
      <w:pStyle w:val="Bullet4"/>
      <w:lvlText w:val=""/>
      <w:lvlJc w:val="left"/>
      <w:pPr>
        <w:tabs>
          <w:tab w:val="num" w:pos="2676"/>
        </w:tabs>
        <w:ind w:left="2676" w:hanging="357"/>
      </w:pPr>
      <w:rPr>
        <w:rFonts w:ascii="Symbol" w:hAnsi="Symbol" w:hint="default"/>
        <w:color w:val="000000"/>
      </w:rPr>
    </w:lvl>
    <w:lvl w:ilvl="1" w:tplc="E960C262" w:tentative="1">
      <w:start w:val="1"/>
      <w:numFmt w:val="bullet"/>
      <w:lvlText w:val="o"/>
      <w:lvlJc w:val="left"/>
      <w:pPr>
        <w:tabs>
          <w:tab w:val="num" w:pos="1440"/>
        </w:tabs>
        <w:ind w:left="1440" w:hanging="360"/>
      </w:pPr>
      <w:rPr>
        <w:rFonts w:ascii="Courier New" w:hAnsi="Courier New" w:cs="Courier New" w:hint="default"/>
      </w:rPr>
    </w:lvl>
    <w:lvl w:ilvl="2" w:tplc="D2ACAEC6" w:tentative="1">
      <w:start w:val="1"/>
      <w:numFmt w:val="bullet"/>
      <w:lvlText w:val=""/>
      <w:lvlJc w:val="left"/>
      <w:pPr>
        <w:tabs>
          <w:tab w:val="num" w:pos="2160"/>
        </w:tabs>
        <w:ind w:left="2160" w:hanging="360"/>
      </w:pPr>
      <w:rPr>
        <w:rFonts w:ascii="Wingdings" w:hAnsi="Wingdings" w:hint="default"/>
      </w:rPr>
    </w:lvl>
    <w:lvl w:ilvl="3" w:tplc="8CCA9014" w:tentative="1">
      <w:start w:val="1"/>
      <w:numFmt w:val="bullet"/>
      <w:lvlText w:val=""/>
      <w:lvlJc w:val="left"/>
      <w:pPr>
        <w:tabs>
          <w:tab w:val="num" w:pos="2880"/>
        </w:tabs>
        <w:ind w:left="2880" w:hanging="360"/>
      </w:pPr>
      <w:rPr>
        <w:rFonts w:ascii="Symbol" w:hAnsi="Symbol" w:hint="default"/>
      </w:rPr>
    </w:lvl>
    <w:lvl w:ilvl="4" w:tplc="D8F6D7F8" w:tentative="1">
      <w:start w:val="1"/>
      <w:numFmt w:val="bullet"/>
      <w:lvlText w:val="o"/>
      <w:lvlJc w:val="left"/>
      <w:pPr>
        <w:tabs>
          <w:tab w:val="num" w:pos="3600"/>
        </w:tabs>
        <w:ind w:left="3600" w:hanging="360"/>
      </w:pPr>
      <w:rPr>
        <w:rFonts w:ascii="Courier New" w:hAnsi="Courier New" w:cs="Courier New" w:hint="default"/>
      </w:rPr>
    </w:lvl>
    <w:lvl w:ilvl="5" w:tplc="DA78E232" w:tentative="1">
      <w:start w:val="1"/>
      <w:numFmt w:val="bullet"/>
      <w:lvlText w:val=""/>
      <w:lvlJc w:val="left"/>
      <w:pPr>
        <w:tabs>
          <w:tab w:val="num" w:pos="4320"/>
        </w:tabs>
        <w:ind w:left="4320" w:hanging="360"/>
      </w:pPr>
      <w:rPr>
        <w:rFonts w:ascii="Wingdings" w:hAnsi="Wingdings" w:hint="default"/>
      </w:rPr>
    </w:lvl>
    <w:lvl w:ilvl="6" w:tplc="2E8297CE" w:tentative="1">
      <w:start w:val="1"/>
      <w:numFmt w:val="bullet"/>
      <w:lvlText w:val=""/>
      <w:lvlJc w:val="left"/>
      <w:pPr>
        <w:tabs>
          <w:tab w:val="num" w:pos="5040"/>
        </w:tabs>
        <w:ind w:left="5040" w:hanging="360"/>
      </w:pPr>
      <w:rPr>
        <w:rFonts w:ascii="Symbol" w:hAnsi="Symbol" w:hint="default"/>
      </w:rPr>
    </w:lvl>
    <w:lvl w:ilvl="7" w:tplc="3B9AE7D2" w:tentative="1">
      <w:start w:val="1"/>
      <w:numFmt w:val="bullet"/>
      <w:lvlText w:val="o"/>
      <w:lvlJc w:val="left"/>
      <w:pPr>
        <w:tabs>
          <w:tab w:val="num" w:pos="5760"/>
        </w:tabs>
        <w:ind w:left="5760" w:hanging="360"/>
      </w:pPr>
      <w:rPr>
        <w:rFonts w:ascii="Courier New" w:hAnsi="Courier New" w:cs="Courier New" w:hint="default"/>
      </w:rPr>
    </w:lvl>
    <w:lvl w:ilvl="8" w:tplc="0666F06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11" w15:restartNumberingAfterBreak="0">
    <w:nsid w:val="38130038"/>
    <w:multiLevelType w:val="hybridMultilevel"/>
    <w:tmpl w:val="FF8A0FAE"/>
    <w:lvl w:ilvl="0" w:tplc="68B43488">
      <w:start w:val="1"/>
      <w:numFmt w:val="bullet"/>
      <w:pStyle w:val="ClauseBullet2"/>
      <w:lvlText w:val=""/>
      <w:lvlJc w:val="left"/>
      <w:pPr>
        <w:ind w:left="1440" w:hanging="360"/>
      </w:pPr>
      <w:rPr>
        <w:rFonts w:ascii="Symbol" w:hAnsi="Symbol" w:hint="default"/>
        <w:color w:val="000000"/>
      </w:rPr>
    </w:lvl>
    <w:lvl w:ilvl="1" w:tplc="D53E261E" w:tentative="1">
      <w:start w:val="1"/>
      <w:numFmt w:val="bullet"/>
      <w:lvlText w:val="o"/>
      <w:lvlJc w:val="left"/>
      <w:pPr>
        <w:ind w:left="2160" w:hanging="360"/>
      </w:pPr>
      <w:rPr>
        <w:rFonts w:ascii="Courier New" w:hAnsi="Courier New" w:cs="Courier New" w:hint="default"/>
      </w:rPr>
    </w:lvl>
    <w:lvl w:ilvl="2" w:tplc="A2D2EFA6" w:tentative="1">
      <w:start w:val="1"/>
      <w:numFmt w:val="bullet"/>
      <w:lvlText w:val=""/>
      <w:lvlJc w:val="left"/>
      <w:pPr>
        <w:ind w:left="2880" w:hanging="360"/>
      </w:pPr>
      <w:rPr>
        <w:rFonts w:ascii="Wingdings" w:hAnsi="Wingdings" w:hint="default"/>
      </w:rPr>
    </w:lvl>
    <w:lvl w:ilvl="3" w:tplc="446439BE" w:tentative="1">
      <w:start w:val="1"/>
      <w:numFmt w:val="bullet"/>
      <w:lvlText w:val=""/>
      <w:lvlJc w:val="left"/>
      <w:pPr>
        <w:ind w:left="3600" w:hanging="360"/>
      </w:pPr>
      <w:rPr>
        <w:rFonts w:ascii="Symbol" w:hAnsi="Symbol" w:hint="default"/>
      </w:rPr>
    </w:lvl>
    <w:lvl w:ilvl="4" w:tplc="848EDAB8" w:tentative="1">
      <w:start w:val="1"/>
      <w:numFmt w:val="bullet"/>
      <w:lvlText w:val="o"/>
      <w:lvlJc w:val="left"/>
      <w:pPr>
        <w:ind w:left="4320" w:hanging="360"/>
      </w:pPr>
      <w:rPr>
        <w:rFonts w:ascii="Courier New" w:hAnsi="Courier New" w:cs="Courier New" w:hint="default"/>
      </w:rPr>
    </w:lvl>
    <w:lvl w:ilvl="5" w:tplc="829E4624" w:tentative="1">
      <w:start w:val="1"/>
      <w:numFmt w:val="bullet"/>
      <w:lvlText w:val=""/>
      <w:lvlJc w:val="left"/>
      <w:pPr>
        <w:ind w:left="5040" w:hanging="360"/>
      </w:pPr>
      <w:rPr>
        <w:rFonts w:ascii="Wingdings" w:hAnsi="Wingdings" w:hint="default"/>
      </w:rPr>
    </w:lvl>
    <w:lvl w:ilvl="6" w:tplc="5136D6B4" w:tentative="1">
      <w:start w:val="1"/>
      <w:numFmt w:val="bullet"/>
      <w:lvlText w:val=""/>
      <w:lvlJc w:val="left"/>
      <w:pPr>
        <w:ind w:left="5760" w:hanging="360"/>
      </w:pPr>
      <w:rPr>
        <w:rFonts w:ascii="Symbol" w:hAnsi="Symbol" w:hint="default"/>
      </w:rPr>
    </w:lvl>
    <w:lvl w:ilvl="7" w:tplc="34F4BD28" w:tentative="1">
      <w:start w:val="1"/>
      <w:numFmt w:val="bullet"/>
      <w:lvlText w:val="o"/>
      <w:lvlJc w:val="left"/>
      <w:pPr>
        <w:ind w:left="6480" w:hanging="360"/>
      </w:pPr>
      <w:rPr>
        <w:rFonts w:ascii="Courier New" w:hAnsi="Courier New" w:cs="Courier New" w:hint="default"/>
      </w:rPr>
    </w:lvl>
    <w:lvl w:ilvl="8" w:tplc="224045E8" w:tentative="1">
      <w:start w:val="1"/>
      <w:numFmt w:val="bullet"/>
      <w:lvlText w:val=""/>
      <w:lvlJc w:val="left"/>
      <w:pPr>
        <w:ind w:left="7200" w:hanging="360"/>
      </w:pPr>
      <w:rPr>
        <w:rFonts w:ascii="Wingdings" w:hAnsi="Wingdings" w:hint="default"/>
      </w:rPr>
    </w:lvl>
  </w:abstractNum>
  <w:abstractNum w:abstractNumId="12" w15:restartNumberingAfterBreak="0">
    <w:nsid w:val="44D67987"/>
    <w:multiLevelType w:val="hybridMultilevel"/>
    <w:tmpl w:val="EBD6FB80"/>
    <w:lvl w:ilvl="0" w:tplc="C8B45542">
      <w:start w:val="1"/>
      <w:numFmt w:val="bullet"/>
      <w:pStyle w:val="subclause1Bullet2"/>
      <w:lvlText w:val=""/>
      <w:lvlJc w:val="left"/>
      <w:pPr>
        <w:ind w:left="1440" w:hanging="360"/>
      </w:pPr>
      <w:rPr>
        <w:rFonts w:ascii="Symbol" w:hAnsi="Symbol" w:hint="default"/>
        <w:color w:val="000000"/>
      </w:rPr>
    </w:lvl>
    <w:lvl w:ilvl="1" w:tplc="5A12DFEE" w:tentative="1">
      <w:start w:val="1"/>
      <w:numFmt w:val="bullet"/>
      <w:lvlText w:val="o"/>
      <w:lvlJc w:val="left"/>
      <w:pPr>
        <w:ind w:left="2160" w:hanging="360"/>
      </w:pPr>
      <w:rPr>
        <w:rFonts w:ascii="Courier New" w:hAnsi="Courier New" w:cs="Courier New" w:hint="default"/>
      </w:rPr>
    </w:lvl>
    <w:lvl w:ilvl="2" w:tplc="6DCEF304" w:tentative="1">
      <w:start w:val="1"/>
      <w:numFmt w:val="bullet"/>
      <w:lvlText w:val=""/>
      <w:lvlJc w:val="left"/>
      <w:pPr>
        <w:ind w:left="2880" w:hanging="360"/>
      </w:pPr>
      <w:rPr>
        <w:rFonts w:ascii="Wingdings" w:hAnsi="Wingdings" w:hint="default"/>
      </w:rPr>
    </w:lvl>
    <w:lvl w:ilvl="3" w:tplc="858A77A2" w:tentative="1">
      <w:start w:val="1"/>
      <w:numFmt w:val="bullet"/>
      <w:lvlText w:val=""/>
      <w:lvlJc w:val="left"/>
      <w:pPr>
        <w:ind w:left="3600" w:hanging="360"/>
      </w:pPr>
      <w:rPr>
        <w:rFonts w:ascii="Symbol" w:hAnsi="Symbol" w:hint="default"/>
      </w:rPr>
    </w:lvl>
    <w:lvl w:ilvl="4" w:tplc="1840BC00" w:tentative="1">
      <w:start w:val="1"/>
      <w:numFmt w:val="bullet"/>
      <w:lvlText w:val="o"/>
      <w:lvlJc w:val="left"/>
      <w:pPr>
        <w:ind w:left="4320" w:hanging="360"/>
      </w:pPr>
      <w:rPr>
        <w:rFonts w:ascii="Courier New" w:hAnsi="Courier New" w:cs="Courier New" w:hint="default"/>
      </w:rPr>
    </w:lvl>
    <w:lvl w:ilvl="5" w:tplc="C6646C54" w:tentative="1">
      <w:start w:val="1"/>
      <w:numFmt w:val="bullet"/>
      <w:lvlText w:val=""/>
      <w:lvlJc w:val="left"/>
      <w:pPr>
        <w:ind w:left="5040" w:hanging="360"/>
      </w:pPr>
      <w:rPr>
        <w:rFonts w:ascii="Wingdings" w:hAnsi="Wingdings" w:hint="default"/>
      </w:rPr>
    </w:lvl>
    <w:lvl w:ilvl="6" w:tplc="4A3C69B0" w:tentative="1">
      <w:start w:val="1"/>
      <w:numFmt w:val="bullet"/>
      <w:lvlText w:val=""/>
      <w:lvlJc w:val="left"/>
      <w:pPr>
        <w:ind w:left="5760" w:hanging="360"/>
      </w:pPr>
      <w:rPr>
        <w:rFonts w:ascii="Symbol" w:hAnsi="Symbol" w:hint="default"/>
      </w:rPr>
    </w:lvl>
    <w:lvl w:ilvl="7" w:tplc="F222C45A" w:tentative="1">
      <w:start w:val="1"/>
      <w:numFmt w:val="bullet"/>
      <w:lvlText w:val="o"/>
      <w:lvlJc w:val="left"/>
      <w:pPr>
        <w:ind w:left="6480" w:hanging="360"/>
      </w:pPr>
      <w:rPr>
        <w:rFonts w:ascii="Courier New" w:hAnsi="Courier New" w:cs="Courier New" w:hint="default"/>
      </w:rPr>
    </w:lvl>
    <w:lvl w:ilvl="8" w:tplc="3CDAE910" w:tentative="1">
      <w:start w:val="1"/>
      <w:numFmt w:val="bullet"/>
      <w:lvlText w:val=""/>
      <w:lvlJc w:val="left"/>
      <w:pPr>
        <w:ind w:left="7200" w:hanging="360"/>
      </w:pPr>
      <w:rPr>
        <w:rFonts w:ascii="Wingdings" w:hAnsi="Wingdings" w:hint="default"/>
      </w:rPr>
    </w:lvl>
  </w:abstractNum>
  <w:abstractNum w:abstractNumId="13" w15:restartNumberingAfterBreak="0">
    <w:nsid w:val="44E96665"/>
    <w:multiLevelType w:val="hybridMultilevel"/>
    <w:tmpl w:val="EF1E142A"/>
    <w:lvl w:ilvl="0" w:tplc="1F5EB7EC">
      <w:start w:val="1"/>
      <w:numFmt w:val="bullet"/>
      <w:pStyle w:val="subclause3Bullet1"/>
      <w:lvlText w:val=""/>
      <w:lvlJc w:val="left"/>
      <w:pPr>
        <w:ind w:left="2988" w:hanging="360"/>
      </w:pPr>
      <w:rPr>
        <w:rFonts w:ascii="Symbol" w:hAnsi="Symbol" w:hint="default"/>
        <w:color w:val="000000"/>
      </w:rPr>
    </w:lvl>
    <w:lvl w:ilvl="1" w:tplc="5EC2BDD8" w:tentative="1">
      <w:start w:val="1"/>
      <w:numFmt w:val="bullet"/>
      <w:lvlText w:val="o"/>
      <w:lvlJc w:val="left"/>
      <w:pPr>
        <w:ind w:left="3708" w:hanging="360"/>
      </w:pPr>
      <w:rPr>
        <w:rFonts w:ascii="Courier New" w:hAnsi="Courier New" w:cs="Courier New" w:hint="default"/>
      </w:rPr>
    </w:lvl>
    <w:lvl w:ilvl="2" w:tplc="9F32C18A" w:tentative="1">
      <w:start w:val="1"/>
      <w:numFmt w:val="bullet"/>
      <w:lvlText w:val=""/>
      <w:lvlJc w:val="left"/>
      <w:pPr>
        <w:ind w:left="4428" w:hanging="360"/>
      </w:pPr>
      <w:rPr>
        <w:rFonts w:ascii="Wingdings" w:hAnsi="Wingdings" w:hint="default"/>
      </w:rPr>
    </w:lvl>
    <w:lvl w:ilvl="3" w:tplc="5036AE2A" w:tentative="1">
      <w:start w:val="1"/>
      <w:numFmt w:val="bullet"/>
      <w:lvlText w:val=""/>
      <w:lvlJc w:val="left"/>
      <w:pPr>
        <w:ind w:left="5148" w:hanging="360"/>
      </w:pPr>
      <w:rPr>
        <w:rFonts w:ascii="Symbol" w:hAnsi="Symbol" w:hint="default"/>
      </w:rPr>
    </w:lvl>
    <w:lvl w:ilvl="4" w:tplc="31747BAE" w:tentative="1">
      <w:start w:val="1"/>
      <w:numFmt w:val="bullet"/>
      <w:lvlText w:val="o"/>
      <w:lvlJc w:val="left"/>
      <w:pPr>
        <w:ind w:left="5868" w:hanging="360"/>
      </w:pPr>
      <w:rPr>
        <w:rFonts w:ascii="Courier New" w:hAnsi="Courier New" w:cs="Courier New" w:hint="default"/>
      </w:rPr>
    </w:lvl>
    <w:lvl w:ilvl="5" w:tplc="3BB0418A" w:tentative="1">
      <w:start w:val="1"/>
      <w:numFmt w:val="bullet"/>
      <w:lvlText w:val=""/>
      <w:lvlJc w:val="left"/>
      <w:pPr>
        <w:ind w:left="6588" w:hanging="360"/>
      </w:pPr>
      <w:rPr>
        <w:rFonts w:ascii="Wingdings" w:hAnsi="Wingdings" w:hint="default"/>
      </w:rPr>
    </w:lvl>
    <w:lvl w:ilvl="6" w:tplc="B2945288" w:tentative="1">
      <w:start w:val="1"/>
      <w:numFmt w:val="bullet"/>
      <w:lvlText w:val=""/>
      <w:lvlJc w:val="left"/>
      <w:pPr>
        <w:ind w:left="7308" w:hanging="360"/>
      </w:pPr>
      <w:rPr>
        <w:rFonts w:ascii="Symbol" w:hAnsi="Symbol" w:hint="default"/>
      </w:rPr>
    </w:lvl>
    <w:lvl w:ilvl="7" w:tplc="9F6677AE" w:tentative="1">
      <w:start w:val="1"/>
      <w:numFmt w:val="bullet"/>
      <w:lvlText w:val="o"/>
      <w:lvlJc w:val="left"/>
      <w:pPr>
        <w:ind w:left="8028" w:hanging="360"/>
      </w:pPr>
      <w:rPr>
        <w:rFonts w:ascii="Courier New" w:hAnsi="Courier New" w:cs="Courier New" w:hint="default"/>
      </w:rPr>
    </w:lvl>
    <w:lvl w:ilvl="8" w:tplc="CD1AEF2E" w:tentative="1">
      <w:start w:val="1"/>
      <w:numFmt w:val="bullet"/>
      <w:lvlText w:val=""/>
      <w:lvlJc w:val="left"/>
      <w:pPr>
        <w:ind w:left="8748" w:hanging="360"/>
      </w:pPr>
      <w:rPr>
        <w:rFonts w:ascii="Wingdings" w:hAnsi="Wingdings" w:hint="default"/>
      </w:rPr>
    </w:lvl>
  </w:abstractNum>
  <w:abstractNum w:abstractNumId="14" w15:restartNumberingAfterBreak="0">
    <w:nsid w:val="46AC04C6"/>
    <w:multiLevelType w:val="hybridMultilevel"/>
    <w:tmpl w:val="E6C47700"/>
    <w:lvl w:ilvl="0" w:tplc="D4E054C6">
      <w:start w:val="1"/>
      <w:numFmt w:val="bullet"/>
      <w:pStyle w:val="subclause2Bullet1"/>
      <w:lvlText w:val=""/>
      <w:lvlJc w:val="left"/>
      <w:pPr>
        <w:ind w:left="2279" w:hanging="360"/>
      </w:pPr>
      <w:rPr>
        <w:rFonts w:ascii="Symbol" w:hAnsi="Symbol" w:hint="default"/>
        <w:color w:val="000000"/>
      </w:rPr>
    </w:lvl>
    <w:lvl w:ilvl="1" w:tplc="C1103948" w:tentative="1">
      <w:start w:val="1"/>
      <w:numFmt w:val="bullet"/>
      <w:lvlText w:val="o"/>
      <w:lvlJc w:val="left"/>
      <w:pPr>
        <w:ind w:left="2999" w:hanging="360"/>
      </w:pPr>
      <w:rPr>
        <w:rFonts w:ascii="Courier New" w:hAnsi="Courier New" w:cs="Courier New" w:hint="default"/>
      </w:rPr>
    </w:lvl>
    <w:lvl w:ilvl="2" w:tplc="F2D476C6" w:tentative="1">
      <w:start w:val="1"/>
      <w:numFmt w:val="bullet"/>
      <w:lvlText w:val=""/>
      <w:lvlJc w:val="left"/>
      <w:pPr>
        <w:ind w:left="3719" w:hanging="360"/>
      </w:pPr>
      <w:rPr>
        <w:rFonts w:ascii="Wingdings" w:hAnsi="Wingdings" w:hint="default"/>
      </w:rPr>
    </w:lvl>
    <w:lvl w:ilvl="3" w:tplc="0478E832" w:tentative="1">
      <w:start w:val="1"/>
      <w:numFmt w:val="bullet"/>
      <w:lvlText w:val=""/>
      <w:lvlJc w:val="left"/>
      <w:pPr>
        <w:ind w:left="4439" w:hanging="360"/>
      </w:pPr>
      <w:rPr>
        <w:rFonts w:ascii="Symbol" w:hAnsi="Symbol" w:hint="default"/>
      </w:rPr>
    </w:lvl>
    <w:lvl w:ilvl="4" w:tplc="54546A4A" w:tentative="1">
      <w:start w:val="1"/>
      <w:numFmt w:val="bullet"/>
      <w:lvlText w:val="o"/>
      <w:lvlJc w:val="left"/>
      <w:pPr>
        <w:ind w:left="5159" w:hanging="360"/>
      </w:pPr>
      <w:rPr>
        <w:rFonts w:ascii="Courier New" w:hAnsi="Courier New" w:cs="Courier New" w:hint="default"/>
      </w:rPr>
    </w:lvl>
    <w:lvl w:ilvl="5" w:tplc="2B803650" w:tentative="1">
      <w:start w:val="1"/>
      <w:numFmt w:val="bullet"/>
      <w:lvlText w:val=""/>
      <w:lvlJc w:val="left"/>
      <w:pPr>
        <w:ind w:left="5879" w:hanging="360"/>
      </w:pPr>
      <w:rPr>
        <w:rFonts w:ascii="Wingdings" w:hAnsi="Wingdings" w:hint="default"/>
      </w:rPr>
    </w:lvl>
    <w:lvl w:ilvl="6" w:tplc="000065F0" w:tentative="1">
      <w:start w:val="1"/>
      <w:numFmt w:val="bullet"/>
      <w:lvlText w:val=""/>
      <w:lvlJc w:val="left"/>
      <w:pPr>
        <w:ind w:left="6599" w:hanging="360"/>
      </w:pPr>
      <w:rPr>
        <w:rFonts w:ascii="Symbol" w:hAnsi="Symbol" w:hint="default"/>
      </w:rPr>
    </w:lvl>
    <w:lvl w:ilvl="7" w:tplc="438A5376" w:tentative="1">
      <w:start w:val="1"/>
      <w:numFmt w:val="bullet"/>
      <w:lvlText w:val="o"/>
      <w:lvlJc w:val="left"/>
      <w:pPr>
        <w:ind w:left="7319" w:hanging="360"/>
      </w:pPr>
      <w:rPr>
        <w:rFonts w:ascii="Courier New" w:hAnsi="Courier New" w:cs="Courier New" w:hint="default"/>
      </w:rPr>
    </w:lvl>
    <w:lvl w:ilvl="8" w:tplc="602833E6" w:tentative="1">
      <w:start w:val="1"/>
      <w:numFmt w:val="bullet"/>
      <w:lvlText w:val=""/>
      <w:lvlJc w:val="left"/>
      <w:pPr>
        <w:ind w:left="8039" w:hanging="360"/>
      </w:pPr>
      <w:rPr>
        <w:rFonts w:ascii="Wingdings" w:hAnsi="Wingdings" w:hint="default"/>
      </w:rPr>
    </w:lvl>
  </w:abstractNum>
  <w:abstractNum w:abstractNumId="15" w15:restartNumberingAfterBreak="0">
    <w:nsid w:val="47F42723"/>
    <w:multiLevelType w:val="hybridMultilevel"/>
    <w:tmpl w:val="C5A02EE6"/>
    <w:lvl w:ilvl="0" w:tplc="552AB11E">
      <w:start w:val="1"/>
      <w:numFmt w:val="bullet"/>
      <w:pStyle w:val="subclause1Bullet1"/>
      <w:lvlText w:val=""/>
      <w:lvlJc w:val="left"/>
      <w:pPr>
        <w:ind w:left="1440" w:hanging="360"/>
      </w:pPr>
      <w:rPr>
        <w:rFonts w:ascii="Symbol" w:hAnsi="Symbol" w:hint="default"/>
        <w:color w:val="000000"/>
      </w:rPr>
    </w:lvl>
    <w:lvl w:ilvl="1" w:tplc="4AE6ECCA" w:tentative="1">
      <w:start w:val="1"/>
      <w:numFmt w:val="bullet"/>
      <w:lvlText w:val="o"/>
      <w:lvlJc w:val="left"/>
      <w:pPr>
        <w:ind w:left="2160" w:hanging="360"/>
      </w:pPr>
      <w:rPr>
        <w:rFonts w:ascii="Courier New" w:hAnsi="Courier New" w:cs="Courier New" w:hint="default"/>
      </w:rPr>
    </w:lvl>
    <w:lvl w:ilvl="2" w:tplc="C7BC2298" w:tentative="1">
      <w:start w:val="1"/>
      <w:numFmt w:val="bullet"/>
      <w:lvlText w:val=""/>
      <w:lvlJc w:val="left"/>
      <w:pPr>
        <w:ind w:left="2880" w:hanging="360"/>
      </w:pPr>
      <w:rPr>
        <w:rFonts w:ascii="Wingdings" w:hAnsi="Wingdings" w:hint="default"/>
      </w:rPr>
    </w:lvl>
    <w:lvl w:ilvl="3" w:tplc="83586D96" w:tentative="1">
      <w:start w:val="1"/>
      <w:numFmt w:val="bullet"/>
      <w:lvlText w:val=""/>
      <w:lvlJc w:val="left"/>
      <w:pPr>
        <w:ind w:left="3600" w:hanging="360"/>
      </w:pPr>
      <w:rPr>
        <w:rFonts w:ascii="Symbol" w:hAnsi="Symbol" w:hint="default"/>
      </w:rPr>
    </w:lvl>
    <w:lvl w:ilvl="4" w:tplc="A76C5A90" w:tentative="1">
      <w:start w:val="1"/>
      <w:numFmt w:val="bullet"/>
      <w:lvlText w:val="o"/>
      <w:lvlJc w:val="left"/>
      <w:pPr>
        <w:ind w:left="4320" w:hanging="360"/>
      </w:pPr>
      <w:rPr>
        <w:rFonts w:ascii="Courier New" w:hAnsi="Courier New" w:cs="Courier New" w:hint="default"/>
      </w:rPr>
    </w:lvl>
    <w:lvl w:ilvl="5" w:tplc="AB8A4612" w:tentative="1">
      <w:start w:val="1"/>
      <w:numFmt w:val="bullet"/>
      <w:lvlText w:val=""/>
      <w:lvlJc w:val="left"/>
      <w:pPr>
        <w:ind w:left="5040" w:hanging="360"/>
      </w:pPr>
      <w:rPr>
        <w:rFonts w:ascii="Wingdings" w:hAnsi="Wingdings" w:hint="default"/>
      </w:rPr>
    </w:lvl>
    <w:lvl w:ilvl="6" w:tplc="7F58B3D0" w:tentative="1">
      <w:start w:val="1"/>
      <w:numFmt w:val="bullet"/>
      <w:lvlText w:val=""/>
      <w:lvlJc w:val="left"/>
      <w:pPr>
        <w:ind w:left="5760" w:hanging="360"/>
      </w:pPr>
      <w:rPr>
        <w:rFonts w:ascii="Symbol" w:hAnsi="Symbol" w:hint="default"/>
      </w:rPr>
    </w:lvl>
    <w:lvl w:ilvl="7" w:tplc="E2B01F14" w:tentative="1">
      <w:start w:val="1"/>
      <w:numFmt w:val="bullet"/>
      <w:lvlText w:val="o"/>
      <w:lvlJc w:val="left"/>
      <w:pPr>
        <w:ind w:left="6480" w:hanging="360"/>
      </w:pPr>
      <w:rPr>
        <w:rFonts w:ascii="Courier New" w:hAnsi="Courier New" w:cs="Courier New" w:hint="default"/>
      </w:rPr>
    </w:lvl>
    <w:lvl w:ilvl="8" w:tplc="BEDE039C" w:tentative="1">
      <w:start w:val="1"/>
      <w:numFmt w:val="bullet"/>
      <w:lvlText w:val=""/>
      <w:lvlJc w:val="left"/>
      <w:pPr>
        <w:ind w:left="7200" w:hanging="360"/>
      </w:pPr>
      <w:rPr>
        <w:rFonts w:ascii="Wingdings" w:hAnsi="Wingdings" w:hint="default"/>
      </w:rPr>
    </w:lvl>
  </w:abstractNum>
  <w:abstractNum w:abstractNumId="16" w15:restartNumberingAfterBreak="0">
    <w:nsid w:val="55CB0AF0"/>
    <w:multiLevelType w:val="hybridMultilevel"/>
    <w:tmpl w:val="EB98B43A"/>
    <w:lvl w:ilvl="0" w:tplc="D4DA4E32">
      <w:start w:val="1"/>
      <w:numFmt w:val="decimal"/>
      <w:pStyle w:val="LongQuestionPara"/>
      <w:lvlText w:val="%1."/>
      <w:lvlJc w:val="left"/>
      <w:pPr>
        <w:ind w:left="360" w:hanging="360"/>
      </w:pPr>
      <w:rPr>
        <w:rFonts w:hint="default"/>
        <w:b/>
        <w:i w:val="0"/>
        <w:color w:val="000000"/>
        <w:sz w:val="24"/>
      </w:rPr>
    </w:lvl>
    <w:lvl w:ilvl="1" w:tplc="4334AFAA" w:tentative="1">
      <w:start w:val="1"/>
      <w:numFmt w:val="lowerLetter"/>
      <w:lvlText w:val="%2."/>
      <w:lvlJc w:val="left"/>
      <w:pPr>
        <w:ind w:left="1440" w:hanging="360"/>
      </w:pPr>
    </w:lvl>
    <w:lvl w:ilvl="2" w:tplc="8CA2BF46" w:tentative="1">
      <w:start w:val="1"/>
      <w:numFmt w:val="lowerRoman"/>
      <w:lvlText w:val="%3."/>
      <w:lvlJc w:val="right"/>
      <w:pPr>
        <w:ind w:left="2160" w:hanging="180"/>
      </w:pPr>
    </w:lvl>
    <w:lvl w:ilvl="3" w:tplc="58AE8F1C" w:tentative="1">
      <w:start w:val="1"/>
      <w:numFmt w:val="decimal"/>
      <w:lvlText w:val="%4."/>
      <w:lvlJc w:val="left"/>
      <w:pPr>
        <w:ind w:left="2880" w:hanging="360"/>
      </w:pPr>
    </w:lvl>
    <w:lvl w:ilvl="4" w:tplc="93B040BC" w:tentative="1">
      <w:start w:val="1"/>
      <w:numFmt w:val="lowerLetter"/>
      <w:lvlText w:val="%5."/>
      <w:lvlJc w:val="left"/>
      <w:pPr>
        <w:ind w:left="3600" w:hanging="360"/>
      </w:pPr>
    </w:lvl>
    <w:lvl w:ilvl="5" w:tplc="B9A0B8E8" w:tentative="1">
      <w:start w:val="1"/>
      <w:numFmt w:val="lowerRoman"/>
      <w:lvlText w:val="%6."/>
      <w:lvlJc w:val="right"/>
      <w:pPr>
        <w:ind w:left="4320" w:hanging="180"/>
      </w:pPr>
    </w:lvl>
    <w:lvl w:ilvl="6" w:tplc="566E3D46" w:tentative="1">
      <w:start w:val="1"/>
      <w:numFmt w:val="decimal"/>
      <w:lvlText w:val="%7."/>
      <w:lvlJc w:val="left"/>
      <w:pPr>
        <w:ind w:left="5040" w:hanging="360"/>
      </w:pPr>
    </w:lvl>
    <w:lvl w:ilvl="7" w:tplc="3ABEF942" w:tentative="1">
      <w:start w:val="1"/>
      <w:numFmt w:val="lowerLetter"/>
      <w:lvlText w:val="%8."/>
      <w:lvlJc w:val="left"/>
      <w:pPr>
        <w:ind w:left="5760" w:hanging="360"/>
      </w:pPr>
    </w:lvl>
    <w:lvl w:ilvl="8" w:tplc="FE1E880A" w:tentative="1">
      <w:start w:val="1"/>
      <w:numFmt w:val="lowerRoman"/>
      <w:lvlText w:val="%9."/>
      <w:lvlJc w:val="right"/>
      <w:pPr>
        <w:ind w:left="6480" w:hanging="180"/>
      </w:pPr>
    </w:lvl>
  </w:abstractNum>
  <w:abstractNum w:abstractNumId="17"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8" w15:restartNumberingAfterBreak="0">
    <w:nsid w:val="61071422"/>
    <w:multiLevelType w:val="hybridMultilevel"/>
    <w:tmpl w:val="59B858D8"/>
    <w:lvl w:ilvl="0" w:tplc="74902BC0">
      <w:start w:val="1"/>
      <w:numFmt w:val="bullet"/>
      <w:pStyle w:val="ClauseBullet1"/>
      <w:lvlText w:val=""/>
      <w:lvlJc w:val="left"/>
      <w:pPr>
        <w:ind w:left="1080" w:hanging="360"/>
      </w:pPr>
      <w:rPr>
        <w:rFonts w:ascii="Symbol" w:hAnsi="Symbol" w:hint="default"/>
        <w:color w:val="000000"/>
      </w:rPr>
    </w:lvl>
    <w:lvl w:ilvl="1" w:tplc="DCE4D9EC" w:tentative="1">
      <w:start w:val="1"/>
      <w:numFmt w:val="bullet"/>
      <w:lvlText w:val="o"/>
      <w:lvlJc w:val="left"/>
      <w:pPr>
        <w:ind w:left="1800" w:hanging="360"/>
      </w:pPr>
      <w:rPr>
        <w:rFonts w:ascii="Courier New" w:hAnsi="Courier New" w:cs="Courier New" w:hint="default"/>
      </w:rPr>
    </w:lvl>
    <w:lvl w:ilvl="2" w:tplc="ED5EF2BA" w:tentative="1">
      <w:start w:val="1"/>
      <w:numFmt w:val="bullet"/>
      <w:lvlText w:val=""/>
      <w:lvlJc w:val="left"/>
      <w:pPr>
        <w:ind w:left="2520" w:hanging="360"/>
      </w:pPr>
      <w:rPr>
        <w:rFonts w:ascii="Wingdings" w:hAnsi="Wingdings" w:hint="default"/>
      </w:rPr>
    </w:lvl>
    <w:lvl w:ilvl="3" w:tplc="6AC2365C" w:tentative="1">
      <w:start w:val="1"/>
      <w:numFmt w:val="bullet"/>
      <w:lvlText w:val=""/>
      <w:lvlJc w:val="left"/>
      <w:pPr>
        <w:ind w:left="3240" w:hanging="360"/>
      </w:pPr>
      <w:rPr>
        <w:rFonts w:ascii="Symbol" w:hAnsi="Symbol" w:hint="default"/>
      </w:rPr>
    </w:lvl>
    <w:lvl w:ilvl="4" w:tplc="D4CEA216" w:tentative="1">
      <w:start w:val="1"/>
      <w:numFmt w:val="bullet"/>
      <w:lvlText w:val="o"/>
      <w:lvlJc w:val="left"/>
      <w:pPr>
        <w:ind w:left="3960" w:hanging="360"/>
      </w:pPr>
      <w:rPr>
        <w:rFonts w:ascii="Courier New" w:hAnsi="Courier New" w:cs="Courier New" w:hint="default"/>
      </w:rPr>
    </w:lvl>
    <w:lvl w:ilvl="5" w:tplc="BCBADBBC" w:tentative="1">
      <w:start w:val="1"/>
      <w:numFmt w:val="bullet"/>
      <w:lvlText w:val=""/>
      <w:lvlJc w:val="left"/>
      <w:pPr>
        <w:ind w:left="4680" w:hanging="360"/>
      </w:pPr>
      <w:rPr>
        <w:rFonts w:ascii="Wingdings" w:hAnsi="Wingdings" w:hint="default"/>
      </w:rPr>
    </w:lvl>
    <w:lvl w:ilvl="6" w:tplc="706E8C96" w:tentative="1">
      <w:start w:val="1"/>
      <w:numFmt w:val="bullet"/>
      <w:lvlText w:val=""/>
      <w:lvlJc w:val="left"/>
      <w:pPr>
        <w:ind w:left="5400" w:hanging="360"/>
      </w:pPr>
      <w:rPr>
        <w:rFonts w:ascii="Symbol" w:hAnsi="Symbol" w:hint="default"/>
      </w:rPr>
    </w:lvl>
    <w:lvl w:ilvl="7" w:tplc="F3F4696E" w:tentative="1">
      <w:start w:val="1"/>
      <w:numFmt w:val="bullet"/>
      <w:lvlText w:val="o"/>
      <w:lvlJc w:val="left"/>
      <w:pPr>
        <w:ind w:left="6120" w:hanging="360"/>
      </w:pPr>
      <w:rPr>
        <w:rFonts w:ascii="Courier New" w:hAnsi="Courier New" w:cs="Courier New" w:hint="default"/>
      </w:rPr>
    </w:lvl>
    <w:lvl w:ilvl="8" w:tplc="112876BE" w:tentative="1">
      <w:start w:val="1"/>
      <w:numFmt w:val="bullet"/>
      <w:lvlText w:val=""/>
      <w:lvlJc w:val="left"/>
      <w:pPr>
        <w:ind w:left="6840" w:hanging="360"/>
      </w:pPr>
      <w:rPr>
        <w:rFonts w:ascii="Wingdings" w:hAnsi="Wingdings" w:hint="default"/>
      </w:rPr>
    </w:lvl>
  </w:abstractNum>
  <w:abstractNum w:abstractNumId="19" w15:restartNumberingAfterBreak="0">
    <w:nsid w:val="642371CD"/>
    <w:multiLevelType w:val="hybridMultilevel"/>
    <w:tmpl w:val="3B76A654"/>
    <w:lvl w:ilvl="0" w:tplc="F05236CE">
      <w:start w:val="1"/>
      <w:numFmt w:val="bullet"/>
      <w:pStyle w:val="subclause3Bullet2"/>
      <w:lvlText w:val=""/>
      <w:lvlJc w:val="left"/>
      <w:pPr>
        <w:ind w:left="3748" w:hanging="360"/>
      </w:pPr>
      <w:rPr>
        <w:rFonts w:ascii="Symbol" w:hAnsi="Symbol" w:hint="default"/>
        <w:color w:val="000000"/>
      </w:rPr>
    </w:lvl>
    <w:lvl w:ilvl="1" w:tplc="D45A0548" w:tentative="1">
      <w:start w:val="1"/>
      <w:numFmt w:val="bullet"/>
      <w:lvlText w:val="o"/>
      <w:lvlJc w:val="left"/>
      <w:pPr>
        <w:ind w:left="4468" w:hanging="360"/>
      </w:pPr>
      <w:rPr>
        <w:rFonts w:ascii="Courier New" w:hAnsi="Courier New" w:cs="Courier New" w:hint="default"/>
      </w:rPr>
    </w:lvl>
    <w:lvl w:ilvl="2" w:tplc="E59C0F32" w:tentative="1">
      <w:start w:val="1"/>
      <w:numFmt w:val="bullet"/>
      <w:lvlText w:val=""/>
      <w:lvlJc w:val="left"/>
      <w:pPr>
        <w:ind w:left="5188" w:hanging="360"/>
      </w:pPr>
      <w:rPr>
        <w:rFonts w:ascii="Wingdings" w:hAnsi="Wingdings" w:hint="default"/>
      </w:rPr>
    </w:lvl>
    <w:lvl w:ilvl="3" w:tplc="76ECAA5C" w:tentative="1">
      <w:start w:val="1"/>
      <w:numFmt w:val="bullet"/>
      <w:lvlText w:val=""/>
      <w:lvlJc w:val="left"/>
      <w:pPr>
        <w:ind w:left="5908" w:hanging="360"/>
      </w:pPr>
      <w:rPr>
        <w:rFonts w:ascii="Symbol" w:hAnsi="Symbol" w:hint="default"/>
      </w:rPr>
    </w:lvl>
    <w:lvl w:ilvl="4" w:tplc="3BBCF10A" w:tentative="1">
      <w:start w:val="1"/>
      <w:numFmt w:val="bullet"/>
      <w:lvlText w:val="o"/>
      <w:lvlJc w:val="left"/>
      <w:pPr>
        <w:ind w:left="6628" w:hanging="360"/>
      </w:pPr>
      <w:rPr>
        <w:rFonts w:ascii="Courier New" w:hAnsi="Courier New" w:cs="Courier New" w:hint="default"/>
      </w:rPr>
    </w:lvl>
    <w:lvl w:ilvl="5" w:tplc="AE9E5554" w:tentative="1">
      <w:start w:val="1"/>
      <w:numFmt w:val="bullet"/>
      <w:lvlText w:val=""/>
      <w:lvlJc w:val="left"/>
      <w:pPr>
        <w:ind w:left="7348" w:hanging="360"/>
      </w:pPr>
      <w:rPr>
        <w:rFonts w:ascii="Wingdings" w:hAnsi="Wingdings" w:hint="default"/>
      </w:rPr>
    </w:lvl>
    <w:lvl w:ilvl="6" w:tplc="FA2AD734" w:tentative="1">
      <w:start w:val="1"/>
      <w:numFmt w:val="bullet"/>
      <w:lvlText w:val=""/>
      <w:lvlJc w:val="left"/>
      <w:pPr>
        <w:ind w:left="8068" w:hanging="360"/>
      </w:pPr>
      <w:rPr>
        <w:rFonts w:ascii="Symbol" w:hAnsi="Symbol" w:hint="default"/>
      </w:rPr>
    </w:lvl>
    <w:lvl w:ilvl="7" w:tplc="8CBEF8CE" w:tentative="1">
      <w:start w:val="1"/>
      <w:numFmt w:val="bullet"/>
      <w:lvlText w:val="o"/>
      <w:lvlJc w:val="left"/>
      <w:pPr>
        <w:ind w:left="8788" w:hanging="360"/>
      </w:pPr>
      <w:rPr>
        <w:rFonts w:ascii="Courier New" w:hAnsi="Courier New" w:cs="Courier New" w:hint="default"/>
      </w:rPr>
    </w:lvl>
    <w:lvl w:ilvl="8" w:tplc="9312B4AC" w:tentative="1">
      <w:start w:val="1"/>
      <w:numFmt w:val="bullet"/>
      <w:lvlText w:val=""/>
      <w:lvlJc w:val="left"/>
      <w:pPr>
        <w:ind w:left="9508" w:hanging="360"/>
      </w:pPr>
      <w:rPr>
        <w:rFonts w:ascii="Wingdings" w:hAnsi="Wingdings" w:hint="default"/>
      </w:rPr>
    </w:lvl>
  </w:abstractNum>
  <w:abstractNum w:abstractNumId="20"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21" w15:restartNumberingAfterBreak="0">
    <w:nsid w:val="6A14466B"/>
    <w:multiLevelType w:val="hybridMultilevel"/>
    <w:tmpl w:val="2402A666"/>
    <w:lvl w:ilvl="0" w:tplc="88105C46">
      <w:start w:val="1"/>
      <w:numFmt w:val="bullet"/>
      <w:pStyle w:val="BulletList1"/>
      <w:lvlText w:val="·"/>
      <w:lvlJc w:val="left"/>
      <w:pPr>
        <w:tabs>
          <w:tab w:val="num" w:pos="360"/>
        </w:tabs>
        <w:ind w:left="360" w:hanging="360"/>
      </w:pPr>
      <w:rPr>
        <w:rFonts w:ascii="Symbol" w:hAnsi="Symbol" w:hint="default"/>
        <w:color w:val="000000"/>
      </w:rPr>
    </w:lvl>
    <w:lvl w:ilvl="1" w:tplc="60D2EF34" w:tentative="1">
      <w:start w:val="1"/>
      <w:numFmt w:val="bullet"/>
      <w:lvlText w:val="·"/>
      <w:lvlJc w:val="left"/>
      <w:pPr>
        <w:tabs>
          <w:tab w:val="num" w:pos="1440"/>
        </w:tabs>
        <w:ind w:left="1440" w:hanging="360"/>
      </w:pPr>
      <w:rPr>
        <w:rFonts w:ascii="Symbol" w:hAnsi="Symbol" w:hint="default"/>
      </w:rPr>
    </w:lvl>
    <w:lvl w:ilvl="2" w:tplc="4A4C9226" w:tentative="1">
      <w:start w:val="1"/>
      <w:numFmt w:val="bullet"/>
      <w:lvlText w:val="·"/>
      <w:lvlJc w:val="left"/>
      <w:pPr>
        <w:tabs>
          <w:tab w:val="num" w:pos="2160"/>
        </w:tabs>
        <w:ind w:left="2160" w:hanging="360"/>
      </w:pPr>
      <w:rPr>
        <w:rFonts w:ascii="Symbol" w:hAnsi="Symbol" w:hint="default"/>
      </w:rPr>
    </w:lvl>
    <w:lvl w:ilvl="3" w:tplc="5A560170" w:tentative="1">
      <w:start w:val="1"/>
      <w:numFmt w:val="bullet"/>
      <w:lvlText w:val="·"/>
      <w:lvlJc w:val="left"/>
      <w:pPr>
        <w:tabs>
          <w:tab w:val="num" w:pos="2880"/>
        </w:tabs>
        <w:ind w:left="2880" w:hanging="360"/>
      </w:pPr>
      <w:rPr>
        <w:rFonts w:ascii="Symbol" w:hAnsi="Symbol" w:hint="default"/>
      </w:rPr>
    </w:lvl>
    <w:lvl w:ilvl="4" w:tplc="66A663D8" w:tentative="1">
      <w:start w:val="1"/>
      <w:numFmt w:val="bullet"/>
      <w:lvlText w:val="o"/>
      <w:lvlJc w:val="left"/>
      <w:pPr>
        <w:tabs>
          <w:tab w:val="num" w:pos="3600"/>
        </w:tabs>
        <w:ind w:left="3600" w:hanging="360"/>
      </w:pPr>
      <w:rPr>
        <w:rFonts w:ascii="Courier New" w:hAnsi="Courier New" w:hint="default"/>
      </w:rPr>
    </w:lvl>
    <w:lvl w:ilvl="5" w:tplc="D2B4C454" w:tentative="1">
      <w:start w:val="1"/>
      <w:numFmt w:val="bullet"/>
      <w:lvlText w:val="§"/>
      <w:lvlJc w:val="left"/>
      <w:pPr>
        <w:tabs>
          <w:tab w:val="num" w:pos="4320"/>
        </w:tabs>
        <w:ind w:left="4320" w:hanging="360"/>
      </w:pPr>
      <w:rPr>
        <w:rFonts w:ascii="Wingdings" w:hAnsi="Wingdings" w:hint="default"/>
      </w:rPr>
    </w:lvl>
    <w:lvl w:ilvl="6" w:tplc="8174D2AE" w:tentative="1">
      <w:start w:val="1"/>
      <w:numFmt w:val="bullet"/>
      <w:lvlText w:val="·"/>
      <w:lvlJc w:val="left"/>
      <w:pPr>
        <w:tabs>
          <w:tab w:val="num" w:pos="5040"/>
        </w:tabs>
        <w:ind w:left="5040" w:hanging="360"/>
      </w:pPr>
      <w:rPr>
        <w:rFonts w:ascii="Symbol" w:hAnsi="Symbol" w:hint="default"/>
      </w:rPr>
    </w:lvl>
    <w:lvl w:ilvl="7" w:tplc="19589D1C" w:tentative="1">
      <w:start w:val="1"/>
      <w:numFmt w:val="bullet"/>
      <w:lvlText w:val="o"/>
      <w:lvlJc w:val="left"/>
      <w:pPr>
        <w:tabs>
          <w:tab w:val="num" w:pos="5760"/>
        </w:tabs>
        <w:ind w:left="5760" w:hanging="360"/>
      </w:pPr>
      <w:rPr>
        <w:rFonts w:ascii="Courier New" w:hAnsi="Courier New" w:hint="default"/>
      </w:rPr>
    </w:lvl>
    <w:lvl w:ilvl="8" w:tplc="C18CA5D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color w:val="000000"/>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71777AD"/>
    <w:multiLevelType w:val="multilevel"/>
    <w:tmpl w:val="2AB81AA0"/>
    <w:lvl w:ilvl="0">
      <w:start w:val="1"/>
      <w:numFmt w:val="decimal"/>
      <w:pStyle w:val="Parties"/>
      <w:lvlText w:val="(%1)"/>
      <w:lvlJc w:val="left"/>
      <w:pPr>
        <w:tabs>
          <w:tab w:val="num" w:pos="720"/>
        </w:tabs>
        <w:ind w:left="720" w:hanging="720"/>
      </w:pPr>
      <w:rPr>
        <w:b w:val="0"/>
        <w:bCs/>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DB5644F"/>
    <w:multiLevelType w:val="hybridMultilevel"/>
    <w:tmpl w:val="8BCC9C08"/>
    <w:lvl w:ilvl="0" w:tplc="FA3A0722">
      <w:start w:val="1"/>
      <w:numFmt w:val="bullet"/>
      <w:pStyle w:val="BulletList3"/>
      <w:lvlText w:val=""/>
      <w:lvlJc w:val="left"/>
      <w:pPr>
        <w:tabs>
          <w:tab w:val="num" w:pos="1945"/>
        </w:tabs>
        <w:ind w:left="1945" w:hanging="357"/>
      </w:pPr>
      <w:rPr>
        <w:rFonts w:ascii="Symbol" w:hAnsi="Symbol" w:hint="default"/>
        <w:color w:val="000000"/>
      </w:rPr>
    </w:lvl>
    <w:lvl w:ilvl="1" w:tplc="235A8616" w:tentative="1">
      <w:start w:val="1"/>
      <w:numFmt w:val="bullet"/>
      <w:lvlText w:val="o"/>
      <w:lvlJc w:val="left"/>
      <w:pPr>
        <w:tabs>
          <w:tab w:val="num" w:pos="1440"/>
        </w:tabs>
        <w:ind w:left="1440" w:hanging="360"/>
      </w:pPr>
      <w:rPr>
        <w:rFonts w:ascii="Courier New" w:hAnsi="Courier New" w:cs="Courier New" w:hint="default"/>
      </w:rPr>
    </w:lvl>
    <w:lvl w:ilvl="2" w:tplc="6C72D826" w:tentative="1">
      <w:start w:val="1"/>
      <w:numFmt w:val="bullet"/>
      <w:lvlText w:val=""/>
      <w:lvlJc w:val="left"/>
      <w:pPr>
        <w:tabs>
          <w:tab w:val="num" w:pos="2160"/>
        </w:tabs>
        <w:ind w:left="2160" w:hanging="360"/>
      </w:pPr>
      <w:rPr>
        <w:rFonts w:ascii="Wingdings" w:hAnsi="Wingdings" w:hint="default"/>
      </w:rPr>
    </w:lvl>
    <w:lvl w:ilvl="3" w:tplc="BEA8AB02" w:tentative="1">
      <w:start w:val="1"/>
      <w:numFmt w:val="bullet"/>
      <w:lvlText w:val=""/>
      <w:lvlJc w:val="left"/>
      <w:pPr>
        <w:tabs>
          <w:tab w:val="num" w:pos="2880"/>
        </w:tabs>
        <w:ind w:left="2880" w:hanging="360"/>
      </w:pPr>
      <w:rPr>
        <w:rFonts w:ascii="Symbol" w:hAnsi="Symbol" w:hint="default"/>
      </w:rPr>
    </w:lvl>
    <w:lvl w:ilvl="4" w:tplc="DC2070D2" w:tentative="1">
      <w:start w:val="1"/>
      <w:numFmt w:val="bullet"/>
      <w:lvlText w:val="o"/>
      <w:lvlJc w:val="left"/>
      <w:pPr>
        <w:tabs>
          <w:tab w:val="num" w:pos="3600"/>
        </w:tabs>
        <w:ind w:left="3600" w:hanging="360"/>
      </w:pPr>
      <w:rPr>
        <w:rFonts w:ascii="Courier New" w:hAnsi="Courier New" w:cs="Courier New" w:hint="default"/>
      </w:rPr>
    </w:lvl>
    <w:lvl w:ilvl="5" w:tplc="A454DA78" w:tentative="1">
      <w:start w:val="1"/>
      <w:numFmt w:val="bullet"/>
      <w:lvlText w:val=""/>
      <w:lvlJc w:val="left"/>
      <w:pPr>
        <w:tabs>
          <w:tab w:val="num" w:pos="4320"/>
        </w:tabs>
        <w:ind w:left="4320" w:hanging="360"/>
      </w:pPr>
      <w:rPr>
        <w:rFonts w:ascii="Wingdings" w:hAnsi="Wingdings" w:hint="default"/>
      </w:rPr>
    </w:lvl>
    <w:lvl w:ilvl="6" w:tplc="B14C5196" w:tentative="1">
      <w:start w:val="1"/>
      <w:numFmt w:val="bullet"/>
      <w:lvlText w:val=""/>
      <w:lvlJc w:val="left"/>
      <w:pPr>
        <w:tabs>
          <w:tab w:val="num" w:pos="5040"/>
        </w:tabs>
        <w:ind w:left="5040" w:hanging="360"/>
      </w:pPr>
      <w:rPr>
        <w:rFonts w:ascii="Symbol" w:hAnsi="Symbol" w:hint="default"/>
      </w:rPr>
    </w:lvl>
    <w:lvl w:ilvl="7" w:tplc="6270E186" w:tentative="1">
      <w:start w:val="1"/>
      <w:numFmt w:val="bullet"/>
      <w:lvlText w:val="o"/>
      <w:lvlJc w:val="left"/>
      <w:pPr>
        <w:tabs>
          <w:tab w:val="num" w:pos="5760"/>
        </w:tabs>
        <w:ind w:left="5760" w:hanging="360"/>
      </w:pPr>
      <w:rPr>
        <w:rFonts w:ascii="Courier New" w:hAnsi="Courier New" w:cs="Courier New" w:hint="default"/>
      </w:rPr>
    </w:lvl>
    <w:lvl w:ilvl="8" w:tplc="84E4A41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B56450"/>
    <w:multiLevelType w:val="multilevel"/>
    <w:tmpl w:val="B5EA651E"/>
    <w:lvl w:ilvl="0">
      <w:start w:val="1"/>
      <w:numFmt w:val="decimal"/>
      <w:lvlText w:val="Schedule %1"/>
      <w:lvlJc w:val="left"/>
      <w:pPr>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26"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27" w15:restartNumberingAfterBreak="0">
    <w:nsid w:val="7DB56452"/>
    <w:multiLevelType w:val="multilevel"/>
    <w:tmpl w:val="7DB56451"/>
    <w:numStyleLink w:val="ScheduleListStyle"/>
  </w:abstractNum>
  <w:abstractNum w:abstractNumId="28" w15:restartNumberingAfterBreak="0">
    <w:nsid w:val="7DB56453"/>
    <w:multiLevelType w:val="multilevel"/>
    <w:tmpl w:val="7DB56451"/>
    <w:numStyleLink w:val="ScheduleListStyle"/>
  </w:abstractNum>
  <w:num w:numId="1" w16cid:durableId="2008242900">
    <w:abstractNumId w:val="20"/>
  </w:num>
  <w:num w:numId="2" w16cid:durableId="1258709147">
    <w:abstractNumId w:val="21"/>
  </w:num>
  <w:num w:numId="3" w16cid:durableId="537594673">
    <w:abstractNumId w:val="8"/>
  </w:num>
  <w:num w:numId="4" w16cid:durableId="1746103689">
    <w:abstractNumId w:val="24"/>
  </w:num>
  <w:num w:numId="5" w16cid:durableId="1866017362">
    <w:abstractNumId w:val="23"/>
  </w:num>
  <w:num w:numId="6" w16cid:durableId="1443695025">
    <w:abstractNumId w:val="4"/>
  </w:num>
  <w:num w:numId="7" w16cid:durableId="2058626535">
    <w:abstractNumId w:val="10"/>
  </w:num>
  <w:num w:numId="8" w16cid:durableId="487212009">
    <w:abstractNumId w:val="9"/>
  </w:num>
  <w:num w:numId="9" w16cid:durableId="773942629">
    <w:abstractNumId w:val="6"/>
  </w:num>
  <w:num w:numId="10" w16cid:durableId="680550355">
    <w:abstractNumId w:val="17"/>
  </w:num>
  <w:num w:numId="11" w16cid:durableId="1213468527">
    <w:abstractNumId w:val="5"/>
  </w:num>
  <w:num w:numId="12" w16cid:durableId="2018655851">
    <w:abstractNumId w:val="16"/>
  </w:num>
  <w:num w:numId="13" w16cid:durableId="767240911">
    <w:abstractNumId w:val="18"/>
  </w:num>
  <w:num w:numId="14" w16cid:durableId="1745562491">
    <w:abstractNumId w:val="11"/>
  </w:num>
  <w:num w:numId="15" w16cid:durableId="1610428153">
    <w:abstractNumId w:val="15"/>
  </w:num>
  <w:num w:numId="16" w16cid:durableId="2001618598">
    <w:abstractNumId w:val="13"/>
  </w:num>
  <w:num w:numId="17" w16cid:durableId="1525438709">
    <w:abstractNumId w:val="14"/>
  </w:num>
  <w:num w:numId="18" w16cid:durableId="693313976">
    <w:abstractNumId w:val="12"/>
  </w:num>
  <w:num w:numId="19" w16cid:durableId="1363476901">
    <w:abstractNumId w:val="7"/>
  </w:num>
  <w:num w:numId="20" w16cid:durableId="836001795">
    <w:abstractNumId w:val="19"/>
  </w:num>
  <w:num w:numId="21" w16cid:durableId="2076080965">
    <w:abstractNumId w:val="1"/>
  </w:num>
  <w:num w:numId="22" w16cid:durableId="905989380">
    <w:abstractNumId w:val="2"/>
  </w:num>
  <w:num w:numId="23" w16cid:durableId="13339942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04293757">
    <w:abstractNumId w:val="3"/>
  </w:num>
  <w:num w:numId="25" w16cid:durableId="628828663">
    <w:abstractNumId w:val="22"/>
  </w:num>
  <w:num w:numId="26" w16cid:durableId="382218217">
    <w:abstractNumId w:val="22"/>
  </w:num>
  <w:num w:numId="27" w16cid:durableId="17703478">
    <w:abstractNumId w:val="22"/>
  </w:num>
  <w:num w:numId="28" w16cid:durableId="1147625191">
    <w:abstractNumId w:val="22"/>
  </w:num>
  <w:num w:numId="29" w16cid:durableId="1760252660">
    <w:abstractNumId w:val="22"/>
  </w:num>
  <w:num w:numId="30" w16cid:durableId="1403137643">
    <w:abstractNumId w:val="22"/>
  </w:num>
  <w:num w:numId="31" w16cid:durableId="1420171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74753445">
    <w:abstractNumId w:val="25"/>
  </w:num>
  <w:num w:numId="33" w16cid:durableId="1304966398">
    <w:abstractNumId w:val="26"/>
  </w:num>
  <w:num w:numId="34" w16cid:durableId="526404791">
    <w:abstractNumId w:val="27"/>
  </w:num>
  <w:num w:numId="35" w16cid:durableId="588731446">
    <w:abstractNumId w:val="28"/>
    <w:lvlOverride w:ilvl="0">
      <w:lvl w:ilvl="0">
        <w:start w:val="1"/>
        <w:numFmt w:val="decimal"/>
        <w:lvlText w:val="Schedule %1"/>
        <w:lvlJc w:val="left"/>
        <w:pPr>
          <w:tabs>
            <w:tab w:val="num" w:pos="0"/>
          </w:tabs>
          <w:ind w:left="360" w:hanging="360"/>
        </w:pPr>
        <w:rPr>
          <w:rFonts w:hint="default"/>
          <w:caps/>
          <w:color w:val="00000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PartsVariable" w:val="&lt;docParts&gt;_x000d__x000a_  &lt;Precedent&gt;agreement&lt;/Precedent&gt;_x000d__x000a_  &lt;Operative&gt;clause&lt;/Operative&gt;_x000d__x000a_  &lt;TemplateType&gt;null&lt;/TemplateType&gt;_x000d__x000a_  &lt;SignaturePageBreakType&gt;Yes without message&lt;/SignaturePageBreakType&gt;_x000d__x000a_&lt;/docParts&gt;"/>
    <w:docVar w:name="gentXMLPartID" w:val="{5093C37B-DE7F-46A2-A555-4055141B1D1D}"/>
  </w:docVars>
  <w:rsids>
    <w:rsidRoot w:val="00FD5F04"/>
    <w:rsid w:val="0000477F"/>
    <w:rsid w:val="000750D6"/>
    <w:rsid w:val="000C6D5B"/>
    <w:rsid w:val="00124E6E"/>
    <w:rsid w:val="001632FB"/>
    <w:rsid w:val="0016514B"/>
    <w:rsid w:val="00180C50"/>
    <w:rsid w:val="0018528C"/>
    <w:rsid w:val="0025158B"/>
    <w:rsid w:val="00260EAB"/>
    <w:rsid w:val="00362A4B"/>
    <w:rsid w:val="004C7D17"/>
    <w:rsid w:val="005359C6"/>
    <w:rsid w:val="005E3147"/>
    <w:rsid w:val="00617F4B"/>
    <w:rsid w:val="0062265A"/>
    <w:rsid w:val="006D75F3"/>
    <w:rsid w:val="00704403"/>
    <w:rsid w:val="007132BF"/>
    <w:rsid w:val="0075657A"/>
    <w:rsid w:val="00807A06"/>
    <w:rsid w:val="00870DE0"/>
    <w:rsid w:val="008C2214"/>
    <w:rsid w:val="008C62FB"/>
    <w:rsid w:val="008E54C2"/>
    <w:rsid w:val="00A9460C"/>
    <w:rsid w:val="00AA06CC"/>
    <w:rsid w:val="00AA1821"/>
    <w:rsid w:val="00B81006"/>
    <w:rsid w:val="00B8782F"/>
    <w:rsid w:val="00C6199C"/>
    <w:rsid w:val="00C735A0"/>
    <w:rsid w:val="00CF2A3C"/>
    <w:rsid w:val="00D03EF2"/>
    <w:rsid w:val="00D91E42"/>
    <w:rsid w:val="00D959F2"/>
    <w:rsid w:val="00E50B90"/>
    <w:rsid w:val="00E64F29"/>
    <w:rsid w:val="00E7113C"/>
    <w:rsid w:val="00F96AC2"/>
    <w:rsid w:val="00FD598C"/>
    <w:rsid w:val="00FD5F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16327"/>
  <w15:docId w15:val="{016B466E-C1B0-4B08-9565-75715525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1331"/>
    <w:pPr>
      <w:spacing w:line="240" w:lineRule="atLeast"/>
    </w:pPr>
    <w:rPr>
      <w:rFonts w:ascii="Arial" w:eastAsia="Arial" w:hAnsi="Arial" w:cs="Arial"/>
      <w:color w:val="000000"/>
    </w:rPr>
  </w:style>
  <w:style w:type="paragraph" w:styleId="Heading1">
    <w:name w:val="heading 1"/>
    <w:basedOn w:val="Normal"/>
    <w:next w:val="Normal"/>
    <w:link w:val="Heading1Char"/>
    <w:uiPriority w:val="9"/>
    <w:qFormat/>
    <w:rsid w:val="00A41331"/>
    <w:pPr>
      <w:keepNext/>
      <w:keepLines/>
      <w:numPr>
        <w:numId w:val="10"/>
      </w:numPr>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A41331"/>
    <w:pPr>
      <w:keepNext/>
      <w:keepLines/>
      <w:numPr>
        <w:ilvl w:val="1"/>
        <w:numId w:val="10"/>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A41331"/>
    <w:pPr>
      <w:keepNext/>
      <w:keepLines/>
      <w:numPr>
        <w:ilvl w:val="2"/>
        <w:numId w:val="10"/>
      </w:numPr>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A41331"/>
    <w:pPr>
      <w:keepNext/>
      <w:keepLines/>
      <w:numPr>
        <w:ilvl w:val="3"/>
        <w:numId w:val="10"/>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A41331"/>
    <w:pPr>
      <w:keepNext/>
      <w:keepLines/>
      <w:numPr>
        <w:ilvl w:val="4"/>
        <w:numId w:val="10"/>
      </w:numPr>
      <w:spacing w:before="20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A41331"/>
    <w:pPr>
      <w:keepNext/>
      <w:keepLines/>
      <w:numPr>
        <w:ilvl w:val="5"/>
        <w:numId w:val="10"/>
      </w:numPr>
      <w:spacing w:before="200" w:after="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semiHidden/>
    <w:unhideWhenUsed/>
    <w:qFormat/>
    <w:rsid w:val="00A41331"/>
    <w:pPr>
      <w:keepNext/>
      <w:keepLines/>
      <w:numPr>
        <w:ilvl w:val="6"/>
        <w:numId w:val="10"/>
      </w:numPr>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41331"/>
    <w:pPr>
      <w:keepNext/>
      <w:keepLines/>
      <w:numPr>
        <w:ilvl w:val="7"/>
        <w:numId w:val="10"/>
      </w:numPr>
      <w:spacing w:before="200"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41331"/>
    <w:pPr>
      <w:keepNext/>
      <w:keepLines/>
      <w:numPr>
        <w:ilvl w:val="8"/>
        <w:numId w:val="10"/>
      </w:numPr>
      <w:spacing w:before="200" w:after="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13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331"/>
    <w:rPr>
      <w:rFonts w:ascii="Tahoma" w:hAnsi="Tahoma" w:cs="Tahoma"/>
      <w:color w:val="000000"/>
      <w:sz w:val="16"/>
      <w:szCs w:val="16"/>
    </w:rPr>
  </w:style>
  <w:style w:type="paragraph" w:styleId="Header">
    <w:name w:val="header"/>
    <w:basedOn w:val="Normal"/>
    <w:link w:val="HeaderChar"/>
    <w:uiPriority w:val="99"/>
    <w:unhideWhenUsed/>
    <w:rsid w:val="00A413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1331"/>
    <w:rPr>
      <w:color w:val="000000"/>
    </w:rPr>
  </w:style>
  <w:style w:type="paragraph" w:styleId="Footer">
    <w:name w:val="footer"/>
    <w:basedOn w:val="Normal"/>
    <w:link w:val="FooterChar"/>
    <w:uiPriority w:val="99"/>
    <w:rsid w:val="00A41331"/>
    <w:pPr>
      <w:tabs>
        <w:tab w:val="center" w:pos="4153"/>
        <w:tab w:val="right" w:pos="8306"/>
      </w:tabs>
      <w:spacing w:after="240" w:line="300" w:lineRule="atLeast"/>
      <w:jc w:val="both"/>
    </w:pPr>
    <w:rPr>
      <w:rFonts w:ascii="Times New Roman" w:eastAsia="Times New Roman" w:hAnsi="Times New Roman" w:cs="Times New Roman"/>
      <w:szCs w:val="20"/>
      <w:lang w:eastAsia="en-US"/>
    </w:rPr>
  </w:style>
  <w:style w:type="character" w:customStyle="1" w:styleId="FooterChar">
    <w:name w:val="Footer Char"/>
    <w:basedOn w:val="DefaultParagraphFont"/>
    <w:link w:val="Footer"/>
    <w:uiPriority w:val="99"/>
    <w:rsid w:val="00A41331"/>
    <w:rPr>
      <w:rFonts w:ascii="Times New Roman" w:eastAsia="Times New Roman" w:hAnsi="Times New Roman" w:cs="Times New Roman"/>
      <w:color w:val="000000"/>
      <w:szCs w:val="20"/>
      <w:lang w:eastAsia="en-US"/>
    </w:rPr>
  </w:style>
  <w:style w:type="character" w:customStyle="1" w:styleId="Heading1Char">
    <w:name w:val="Heading 1 Char"/>
    <w:basedOn w:val="DefaultParagraphFont"/>
    <w:link w:val="Heading1"/>
    <w:uiPriority w:val="9"/>
    <w:rsid w:val="00A41331"/>
    <w:rPr>
      <w:rFonts w:asciiTheme="majorHAnsi" w:eastAsiaTheme="majorEastAsia" w:hAnsiTheme="majorHAnsi" w:cstheme="majorBidi"/>
      <w:b/>
      <w:bCs/>
      <w:color w:val="000000"/>
      <w:sz w:val="28"/>
      <w:szCs w:val="28"/>
    </w:rPr>
  </w:style>
  <w:style w:type="character" w:customStyle="1" w:styleId="Heading2Char">
    <w:name w:val="Heading 2 Char"/>
    <w:basedOn w:val="DefaultParagraphFont"/>
    <w:link w:val="Heading2"/>
    <w:uiPriority w:val="9"/>
    <w:semiHidden/>
    <w:rsid w:val="00A41331"/>
    <w:rPr>
      <w:rFonts w:asciiTheme="majorHAnsi" w:eastAsiaTheme="majorEastAsia" w:hAnsiTheme="majorHAnsi" w:cstheme="majorBidi"/>
      <w:b/>
      <w:bCs/>
      <w:color w:val="000000"/>
      <w:sz w:val="26"/>
      <w:szCs w:val="26"/>
    </w:rPr>
  </w:style>
  <w:style w:type="character" w:customStyle="1" w:styleId="Heading3Char">
    <w:name w:val="Heading 3 Char"/>
    <w:basedOn w:val="DefaultParagraphFont"/>
    <w:link w:val="Heading3"/>
    <w:uiPriority w:val="9"/>
    <w:semiHidden/>
    <w:rsid w:val="00A41331"/>
    <w:rPr>
      <w:rFonts w:asciiTheme="majorHAnsi" w:eastAsiaTheme="majorEastAsia" w:hAnsiTheme="majorHAnsi" w:cstheme="majorBidi"/>
      <w:b/>
      <w:bCs/>
      <w:color w:val="000000"/>
    </w:rPr>
  </w:style>
  <w:style w:type="character" w:customStyle="1" w:styleId="Heading4Char">
    <w:name w:val="Heading 4 Char"/>
    <w:basedOn w:val="DefaultParagraphFont"/>
    <w:link w:val="Heading4"/>
    <w:uiPriority w:val="9"/>
    <w:semiHidden/>
    <w:rsid w:val="00A41331"/>
    <w:rPr>
      <w:rFonts w:asciiTheme="majorHAnsi" w:eastAsiaTheme="majorEastAsia" w:hAnsiTheme="majorHAnsi" w:cstheme="majorBidi"/>
      <w:b/>
      <w:bCs/>
      <w:i/>
      <w:iCs/>
      <w:color w:val="000000"/>
    </w:rPr>
  </w:style>
  <w:style w:type="character" w:customStyle="1" w:styleId="Heading5Char">
    <w:name w:val="Heading 5 Char"/>
    <w:basedOn w:val="DefaultParagraphFont"/>
    <w:link w:val="Heading5"/>
    <w:uiPriority w:val="9"/>
    <w:semiHidden/>
    <w:rsid w:val="00A41331"/>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A41331"/>
    <w:rPr>
      <w:rFonts w:asciiTheme="majorHAnsi" w:eastAsiaTheme="majorEastAsia" w:hAnsiTheme="majorHAnsi" w:cstheme="majorBidi"/>
      <w:i/>
      <w:iCs/>
      <w:color w:val="000000"/>
    </w:rPr>
  </w:style>
  <w:style w:type="character" w:customStyle="1" w:styleId="Heading7Char">
    <w:name w:val="Heading 7 Char"/>
    <w:basedOn w:val="DefaultParagraphFont"/>
    <w:link w:val="Heading7"/>
    <w:uiPriority w:val="9"/>
    <w:semiHidden/>
    <w:rsid w:val="00A41331"/>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A41331"/>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A41331"/>
    <w:rPr>
      <w:rFonts w:asciiTheme="majorHAnsi" w:eastAsiaTheme="majorEastAsia" w:hAnsiTheme="majorHAnsi" w:cstheme="majorBidi"/>
      <w:i/>
      <w:iCs/>
      <w:color w:val="000000"/>
      <w:sz w:val="20"/>
      <w:szCs w:val="20"/>
    </w:rPr>
  </w:style>
  <w:style w:type="character" w:styleId="PlaceholderText">
    <w:name w:val="Placeholder Text"/>
    <w:basedOn w:val="DefaultParagraphFont"/>
    <w:uiPriority w:val="99"/>
    <w:rsid w:val="00A41331"/>
    <w:rPr>
      <w:color w:val="000000"/>
    </w:rPr>
  </w:style>
  <w:style w:type="paragraph" w:customStyle="1" w:styleId="DescriptiveHeading">
    <w:name w:val="DescriptiveHeading"/>
    <w:next w:val="Paragraph"/>
    <w:link w:val="DescriptiveHeadingChar"/>
    <w:rsid w:val="00A41331"/>
    <w:pPr>
      <w:spacing w:before="360" w:after="360" w:line="240" w:lineRule="auto"/>
      <w:outlineLvl w:val="0"/>
    </w:pPr>
    <w:rPr>
      <w:rFonts w:ascii="Arial" w:eastAsia="Arial Unicode MS" w:hAnsi="Arial" w:cs="Arial"/>
      <w:b/>
      <w:color w:val="000000"/>
      <w:lang w:val="en-US" w:eastAsia="en-US"/>
    </w:rPr>
  </w:style>
  <w:style w:type="character" w:customStyle="1" w:styleId="DescriptiveHeadingChar">
    <w:name w:val="DescriptiveHeading Char"/>
    <w:link w:val="DescriptiveHeading"/>
    <w:rsid w:val="00A41331"/>
    <w:rPr>
      <w:rFonts w:ascii="Arial" w:eastAsia="Arial Unicode MS" w:hAnsi="Arial" w:cs="Arial"/>
      <w:b/>
      <w:color w:val="000000"/>
      <w:lang w:val="en-US" w:eastAsia="en-US"/>
    </w:rPr>
  </w:style>
  <w:style w:type="paragraph" w:customStyle="1" w:styleId="Paragraph">
    <w:name w:val="Paragraph"/>
    <w:basedOn w:val="Normal"/>
    <w:link w:val="ParagraphChar"/>
    <w:qFormat/>
    <w:rsid w:val="00A41331"/>
    <w:pPr>
      <w:spacing w:after="120" w:line="300" w:lineRule="atLeast"/>
      <w:jc w:val="both"/>
    </w:pPr>
    <w:rPr>
      <w:rFonts w:eastAsia="Arial Unicode MS"/>
      <w:szCs w:val="20"/>
      <w:lang w:eastAsia="en-US"/>
    </w:rPr>
  </w:style>
  <w:style w:type="table" w:styleId="TableGrid">
    <w:name w:val="Table Grid"/>
    <w:basedOn w:val="TableNormal"/>
    <w:rsid w:val="00A41331"/>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efault">
    <w:name w:val="Intro Default"/>
    <w:basedOn w:val="Paragraph"/>
    <w:qFormat/>
    <w:rsid w:val="00A41331"/>
  </w:style>
  <w:style w:type="paragraph" w:customStyle="1" w:styleId="DraftingnoteTitle">
    <w:name w:val="Draftingnote Title"/>
    <w:basedOn w:val="Normal"/>
    <w:rsid w:val="00A41331"/>
    <w:pPr>
      <w:spacing w:after="120" w:line="300" w:lineRule="atLeast"/>
      <w:jc w:val="both"/>
    </w:pPr>
    <w:rPr>
      <w:rFonts w:eastAsia="Arial Unicode MS"/>
      <w:b/>
      <w:sz w:val="28"/>
      <w:szCs w:val="20"/>
      <w:lang w:eastAsia="en-US"/>
    </w:rPr>
  </w:style>
  <w:style w:type="paragraph" w:customStyle="1" w:styleId="DefinedTermPara">
    <w:name w:val="Defined Term Para"/>
    <w:basedOn w:val="Paragraph"/>
    <w:qFormat/>
    <w:rsid w:val="00A41331"/>
    <w:pPr>
      <w:numPr>
        <w:numId w:val="30"/>
      </w:numPr>
    </w:pPr>
  </w:style>
  <w:style w:type="paragraph" w:customStyle="1" w:styleId="Schedule">
    <w:name w:val="Schedule"/>
    <w:qFormat/>
    <w:rsid w:val="00A41331"/>
    <w:pPr>
      <w:numPr>
        <w:numId w:val="34"/>
      </w:numPr>
      <w:spacing w:before="240" w:after="240" w:line="240" w:lineRule="atLeast"/>
    </w:pPr>
    <w:rPr>
      <w:rFonts w:ascii="Arial" w:eastAsia="Arial Unicode MS" w:hAnsi="Arial" w:cs="Arial"/>
      <w:b/>
      <w:color w:val="000000"/>
      <w:lang w:val="en-US" w:eastAsia="en-US"/>
    </w:rPr>
  </w:style>
  <w:style w:type="paragraph" w:customStyle="1" w:styleId="ScheduleTitle">
    <w:name w:val="Schedule Title"/>
    <w:basedOn w:val="Paragraph"/>
    <w:qFormat/>
    <w:rsid w:val="00A41331"/>
    <w:rPr>
      <w:b/>
    </w:rPr>
  </w:style>
  <w:style w:type="paragraph" w:customStyle="1" w:styleId="IgnoredSpacing">
    <w:name w:val="Ignored Spacing"/>
    <w:link w:val="IgnoredSpacingChar"/>
    <w:rsid w:val="00A41331"/>
    <w:pPr>
      <w:spacing w:after="120" w:line="240" w:lineRule="auto"/>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A41331"/>
    <w:rPr>
      <w:rFonts w:ascii="Arial" w:eastAsia="Arial Unicode MS" w:hAnsi="Arial" w:cs="Arial"/>
      <w:color w:val="000000"/>
      <w:sz w:val="24"/>
      <w:szCs w:val="24"/>
      <w:lang w:val="en-US" w:eastAsia="en-US"/>
    </w:rPr>
  </w:style>
  <w:style w:type="paragraph" w:customStyle="1" w:styleId="Background">
    <w:name w:val="Background"/>
    <w:aliases w:val="(A) Background"/>
    <w:basedOn w:val="Normal"/>
    <w:rsid w:val="00A41331"/>
    <w:pPr>
      <w:numPr>
        <w:numId w:val="1"/>
      </w:numPr>
      <w:spacing w:before="120" w:after="120" w:line="300" w:lineRule="atLeast"/>
      <w:jc w:val="both"/>
    </w:pPr>
    <w:rPr>
      <w:rFonts w:eastAsia="Arial Unicode MS"/>
      <w:szCs w:val="20"/>
      <w:lang w:eastAsia="en-US"/>
    </w:rPr>
  </w:style>
  <w:style w:type="paragraph" w:customStyle="1" w:styleId="Part">
    <w:name w:val="Part"/>
    <w:basedOn w:val="Paragraph"/>
    <w:qFormat/>
    <w:rsid w:val="00A41331"/>
    <w:pPr>
      <w:numPr>
        <w:ilvl w:val="1"/>
        <w:numId w:val="22"/>
      </w:numPr>
      <w:spacing w:before="240" w:after="240"/>
      <w:jc w:val="left"/>
    </w:pPr>
    <w:rPr>
      <w:b/>
    </w:rPr>
  </w:style>
  <w:style w:type="paragraph" w:customStyle="1" w:styleId="Testimonium">
    <w:name w:val="Testimonium"/>
    <w:basedOn w:val="Paragraph"/>
    <w:qFormat/>
    <w:rsid w:val="00A41331"/>
  </w:style>
  <w:style w:type="character" w:customStyle="1" w:styleId="DefTerm">
    <w:name w:val="DefTerm"/>
    <w:basedOn w:val="DefaultParagraphFont"/>
    <w:uiPriority w:val="1"/>
    <w:qFormat/>
    <w:rsid w:val="00A41331"/>
    <w:rPr>
      <w:b/>
      <w:color w:val="000000"/>
    </w:rPr>
  </w:style>
  <w:style w:type="paragraph" w:customStyle="1" w:styleId="TitleClause">
    <w:name w:val="Title Clause"/>
    <w:basedOn w:val="Normal"/>
    <w:rsid w:val="00A41331"/>
    <w:pPr>
      <w:keepNext/>
      <w:numPr>
        <w:numId w:val="23"/>
      </w:numPr>
      <w:spacing w:before="240" w:after="240" w:line="300" w:lineRule="atLeast"/>
      <w:jc w:val="both"/>
      <w:outlineLvl w:val="0"/>
    </w:pPr>
    <w:rPr>
      <w:rFonts w:eastAsia="Arial Unicode MS"/>
      <w:b/>
      <w:kern w:val="28"/>
      <w:szCs w:val="20"/>
      <w:lang w:eastAsia="en-US"/>
    </w:rPr>
  </w:style>
  <w:style w:type="character" w:customStyle="1" w:styleId="ParagraphChar">
    <w:name w:val="Paragraph Char"/>
    <w:basedOn w:val="DefaultParagraphFont"/>
    <w:link w:val="Paragraph"/>
    <w:rsid w:val="00A41331"/>
    <w:rPr>
      <w:rFonts w:ascii="Arial" w:eastAsia="Arial Unicode MS" w:hAnsi="Arial" w:cs="Arial"/>
      <w:color w:val="000000"/>
      <w:szCs w:val="20"/>
      <w:lang w:eastAsia="en-US"/>
    </w:rPr>
  </w:style>
  <w:style w:type="paragraph" w:customStyle="1" w:styleId="ParaClause">
    <w:name w:val="Para Clause"/>
    <w:basedOn w:val="Normal"/>
    <w:rsid w:val="00A41331"/>
    <w:pPr>
      <w:spacing w:before="120" w:after="120" w:line="300" w:lineRule="atLeast"/>
      <w:ind w:left="720"/>
      <w:jc w:val="both"/>
    </w:pPr>
    <w:rPr>
      <w:rFonts w:eastAsia="Arial Unicode MS"/>
      <w:szCs w:val="20"/>
      <w:lang w:eastAsia="en-US"/>
    </w:rPr>
  </w:style>
  <w:style w:type="paragraph" w:customStyle="1" w:styleId="Untitledsubclause1">
    <w:name w:val="Untitled subclause 1"/>
    <w:basedOn w:val="Normal"/>
    <w:rsid w:val="00A41331"/>
    <w:pPr>
      <w:numPr>
        <w:ilvl w:val="1"/>
        <w:numId w:val="23"/>
      </w:numPr>
      <w:spacing w:before="280" w:after="120" w:line="300" w:lineRule="atLeast"/>
      <w:jc w:val="both"/>
      <w:outlineLvl w:val="1"/>
    </w:pPr>
    <w:rPr>
      <w:rFonts w:eastAsia="Arial Unicode MS"/>
      <w:szCs w:val="20"/>
      <w:lang w:eastAsia="en-US"/>
    </w:rPr>
  </w:style>
  <w:style w:type="paragraph" w:customStyle="1" w:styleId="Untitledsubclause2">
    <w:name w:val="Untitled subclause 2"/>
    <w:basedOn w:val="Normal"/>
    <w:rsid w:val="00A41331"/>
    <w:pPr>
      <w:numPr>
        <w:ilvl w:val="2"/>
        <w:numId w:val="23"/>
      </w:numPr>
      <w:spacing w:after="120" w:line="300" w:lineRule="atLeast"/>
      <w:jc w:val="both"/>
      <w:outlineLvl w:val="2"/>
    </w:pPr>
    <w:rPr>
      <w:rFonts w:eastAsia="Arial Unicode MS"/>
      <w:szCs w:val="20"/>
      <w:lang w:eastAsia="en-US"/>
    </w:rPr>
  </w:style>
  <w:style w:type="paragraph" w:customStyle="1" w:styleId="Untitledsubclause3">
    <w:name w:val="Untitled subclause 3"/>
    <w:basedOn w:val="Normal"/>
    <w:rsid w:val="00A41331"/>
    <w:pPr>
      <w:numPr>
        <w:ilvl w:val="3"/>
        <w:numId w:val="23"/>
      </w:numPr>
      <w:tabs>
        <w:tab w:val="left" w:pos="2261"/>
      </w:tabs>
      <w:spacing w:after="120" w:line="300" w:lineRule="atLeast"/>
      <w:jc w:val="both"/>
      <w:outlineLvl w:val="3"/>
    </w:pPr>
    <w:rPr>
      <w:rFonts w:eastAsia="Arial Unicode MS"/>
      <w:szCs w:val="20"/>
      <w:lang w:eastAsia="en-US"/>
    </w:rPr>
  </w:style>
  <w:style w:type="paragraph" w:customStyle="1" w:styleId="Untitledsubclause4">
    <w:name w:val="Untitled subclause 4"/>
    <w:basedOn w:val="Normal"/>
    <w:rsid w:val="00A41331"/>
    <w:pPr>
      <w:numPr>
        <w:ilvl w:val="4"/>
        <w:numId w:val="23"/>
      </w:numPr>
      <w:spacing w:after="120" w:line="300" w:lineRule="atLeast"/>
      <w:jc w:val="both"/>
      <w:outlineLvl w:val="4"/>
    </w:pPr>
    <w:rPr>
      <w:rFonts w:eastAsia="Arial Unicode MS"/>
      <w:szCs w:val="20"/>
      <w:lang w:eastAsia="en-US"/>
    </w:rPr>
  </w:style>
  <w:style w:type="paragraph" w:customStyle="1" w:styleId="BackgroundSubclause1">
    <w:name w:val="Background Subclause1"/>
    <w:basedOn w:val="Background"/>
    <w:qFormat/>
    <w:rsid w:val="00A41331"/>
    <w:pPr>
      <w:numPr>
        <w:ilvl w:val="1"/>
      </w:numPr>
    </w:pPr>
  </w:style>
  <w:style w:type="paragraph" w:customStyle="1" w:styleId="BackgroundSubclause2">
    <w:name w:val="Background Subclause2"/>
    <w:basedOn w:val="Background"/>
    <w:qFormat/>
    <w:rsid w:val="00A41331"/>
    <w:pPr>
      <w:numPr>
        <w:ilvl w:val="3"/>
      </w:numPr>
    </w:pPr>
  </w:style>
  <w:style w:type="paragraph" w:customStyle="1" w:styleId="Abstract">
    <w:name w:val="Abstract"/>
    <w:link w:val="AbstractChar"/>
    <w:rsid w:val="00A41331"/>
    <w:pPr>
      <w:spacing w:after="120" w:line="240" w:lineRule="auto"/>
    </w:pPr>
    <w:rPr>
      <w:rFonts w:ascii="Arial" w:eastAsia="Arial Unicode MS" w:hAnsi="Arial" w:cs="Arial"/>
      <w:color w:val="000000"/>
      <w:sz w:val="24"/>
      <w:szCs w:val="24"/>
      <w:lang w:val="en-US" w:eastAsia="en-US"/>
    </w:rPr>
  </w:style>
  <w:style w:type="character" w:customStyle="1" w:styleId="AbstractChar">
    <w:name w:val="Abstract Char"/>
    <w:link w:val="Abstract"/>
    <w:rsid w:val="00A41331"/>
    <w:rPr>
      <w:rFonts w:ascii="Arial" w:eastAsia="Arial Unicode MS" w:hAnsi="Arial" w:cs="Arial"/>
      <w:color w:val="000000"/>
      <w:sz w:val="24"/>
      <w:szCs w:val="24"/>
      <w:lang w:val="en-US" w:eastAsia="en-US"/>
    </w:rPr>
  </w:style>
  <w:style w:type="paragraph" w:customStyle="1" w:styleId="AuthoringGroup">
    <w:name w:val="Authoring Group"/>
    <w:link w:val="AuthoringGroupChar"/>
    <w:rsid w:val="00A41331"/>
    <w:pPr>
      <w:spacing w:after="120" w:line="240" w:lineRule="auto"/>
    </w:pPr>
    <w:rPr>
      <w:rFonts w:ascii="Arial" w:eastAsia="Arial Unicode MS" w:hAnsi="Arial" w:cs="Arial"/>
      <w:color w:val="000000"/>
      <w:sz w:val="24"/>
      <w:lang w:val="en-US" w:eastAsia="en-US"/>
    </w:rPr>
  </w:style>
  <w:style w:type="character" w:customStyle="1" w:styleId="AuthoringGroupChar">
    <w:name w:val="Authoring Group Char"/>
    <w:link w:val="AuthoringGroup"/>
    <w:rsid w:val="00A41331"/>
    <w:rPr>
      <w:rFonts w:ascii="Arial" w:eastAsia="Arial Unicode MS" w:hAnsi="Arial" w:cs="Arial"/>
      <w:color w:val="000000"/>
      <w:sz w:val="24"/>
      <w:lang w:val="en-US" w:eastAsia="en-US"/>
    </w:rPr>
  </w:style>
  <w:style w:type="paragraph" w:styleId="Title">
    <w:name w:val="Title"/>
    <w:link w:val="TitleChar"/>
    <w:rsid w:val="00A41331"/>
    <w:pPr>
      <w:spacing w:after="120" w:line="240" w:lineRule="auto"/>
    </w:pPr>
    <w:rPr>
      <w:rFonts w:ascii="Arial" w:eastAsia="Arial Unicode MS" w:hAnsi="Arial" w:cs="Arial"/>
      <w:color w:val="000000"/>
      <w:sz w:val="24"/>
      <w:lang w:val="en-US" w:eastAsia="en-US"/>
    </w:rPr>
  </w:style>
  <w:style w:type="character" w:customStyle="1" w:styleId="TitleChar">
    <w:name w:val="Title Char"/>
    <w:link w:val="Title"/>
    <w:rsid w:val="00A41331"/>
    <w:rPr>
      <w:rFonts w:ascii="Arial" w:eastAsia="Arial Unicode MS" w:hAnsi="Arial" w:cs="Arial"/>
      <w:color w:val="000000"/>
      <w:sz w:val="24"/>
      <w:lang w:val="en-US" w:eastAsia="en-US"/>
    </w:rPr>
  </w:style>
  <w:style w:type="paragraph" w:customStyle="1" w:styleId="InternalTOC">
    <w:name w:val="Internal TOC"/>
    <w:rsid w:val="00A41331"/>
    <w:pPr>
      <w:spacing w:after="120" w:line="240" w:lineRule="auto"/>
    </w:pPr>
    <w:rPr>
      <w:rFonts w:ascii="Arial" w:eastAsia="Arial Unicode MS" w:hAnsi="Arial" w:cs="Arial"/>
      <w:color w:val="000000"/>
      <w:lang w:val="en-US" w:eastAsia="en-US"/>
    </w:rPr>
  </w:style>
  <w:style w:type="paragraph" w:customStyle="1" w:styleId="ScheduleTitleClause">
    <w:name w:val="Schedule Title Clause"/>
    <w:basedOn w:val="Normal"/>
    <w:rsid w:val="00A41331"/>
    <w:pPr>
      <w:keepNext/>
      <w:numPr>
        <w:ilvl w:val="2"/>
        <w:numId w:val="22"/>
      </w:numPr>
      <w:spacing w:before="240" w:after="240" w:line="300" w:lineRule="atLeast"/>
      <w:jc w:val="both"/>
      <w:outlineLvl w:val="0"/>
    </w:pPr>
    <w:rPr>
      <w:rFonts w:eastAsia="Arial Unicode MS"/>
      <w:b/>
      <w:kern w:val="28"/>
      <w:szCs w:val="20"/>
      <w:lang w:eastAsia="en-US"/>
    </w:rPr>
  </w:style>
  <w:style w:type="paragraph" w:customStyle="1" w:styleId="ScheduleUntitledsubclause1">
    <w:name w:val="Schedule Untitled subclause 1"/>
    <w:basedOn w:val="Normal"/>
    <w:rsid w:val="00A41331"/>
    <w:pPr>
      <w:numPr>
        <w:ilvl w:val="3"/>
        <w:numId w:val="22"/>
      </w:numPr>
      <w:spacing w:before="280" w:after="120" w:line="300" w:lineRule="atLeast"/>
      <w:jc w:val="both"/>
      <w:outlineLvl w:val="1"/>
    </w:pPr>
    <w:rPr>
      <w:rFonts w:eastAsia="Arial Unicode MS"/>
      <w:szCs w:val="20"/>
      <w:lang w:eastAsia="en-US"/>
    </w:rPr>
  </w:style>
  <w:style w:type="paragraph" w:customStyle="1" w:styleId="ScheduleUntitledsubclause2">
    <w:name w:val="Schedule Untitled subclause 2"/>
    <w:basedOn w:val="Normal"/>
    <w:rsid w:val="00A41331"/>
    <w:pPr>
      <w:numPr>
        <w:ilvl w:val="4"/>
        <w:numId w:val="22"/>
      </w:numPr>
      <w:spacing w:after="120" w:line="300" w:lineRule="atLeast"/>
      <w:jc w:val="both"/>
      <w:outlineLvl w:val="2"/>
    </w:pPr>
    <w:rPr>
      <w:rFonts w:eastAsia="Arial Unicode MS"/>
      <w:szCs w:val="20"/>
      <w:lang w:eastAsia="en-US"/>
    </w:rPr>
  </w:style>
  <w:style w:type="paragraph" w:customStyle="1" w:styleId="ScheduleUntitledsubclause3">
    <w:name w:val="Schedule Untitled subclause 3"/>
    <w:basedOn w:val="Normal"/>
    <w:rsid w:val="00A41331"/>
    <w:pPr>
      <w:numPr>
        <w:ilvl w:val="5"/>
        <w:numId w:val="22"/>
      </w:numPr>
      <w:tabs>
        <w:tab w:val="left" w:pos="2261"/>
      </w:tabs>
      <w:spacing w:after="120" w:line="300" w:lineRule="atLeast"/>
      <w:jc w:val="both"/>
      <w:outlineLvl w:val="3"/>
    </w:pPr>
    <w:rPr>
      <w:rFonts w:eastAsia="Arial Unicode MS"/>
      <w:szCs w:val="20"/>
      <w:lang w:eastAsia="en-US"/>
    </w:rPr>
  </w:style>
  <w:style w:type="paragraph" w:customStyle="1" w:styleId="ScheduleUntitledsubclause4">
    <w:name w:val="Schedule Untitled subclause 4"/>
    <w:basedOn w:val="Normal"/>
    <w:rsid w:val="00A41331"/>
    <w:pPr>
      <w:spacing w:after="120" w:line="300" w:lineRule="atLeast"/>
      <w:jc w:val="both"/>
      <w:outlineLvl w:val="4"/>
    </w:pPr>
    <w:rPr>
      <w:rFonts w:eastAsia="Arial Unicode MS"/>
      <w:szCs w:val="20"/>
      <w:lang w:eastAsia="en-US"/>
    </w:rPr>
  </w:style>
  <w:style w:type="paragraph" w:customStyle="1" w:styleId="DefinedTermNumber">
    <w:name w:val="Defined Term Number"/>
    <w:basedOn w:val="DefinedTermPara"/>
    <w:qFormat/>
    <w:rsid w:val="00A41331"/>
    <w:pPr>
      <w:numPr>
        <w:ilvl w:val="1"/>
      </w:numPr>
    </w:pPr>
  </w:style>
  <w:style w:type="paragraph" w:customStyle="1" w:styleId="Annex">
    <w:name w:val="Annex"/>
    <w:basedOn w:val="Paragraph"/>
    <w:next w:val="Paragraph"/>
    <w:qFormat/>
    <w:rsid w:val="00A41331"/>
    <w:pPr>
      <w:numPr>
        <w:numId w:val="11"/>
      </w:numPr>
      <w:spacing w:before="240" w:after="240"/>
      <w:ind w:left="0" w:firstLine="0"/>
    </w:pPr>
    <w:rPr>
      <w:b/>
    </w:rPr>
  </w:style>
  <w:style w:type="paragraph" w:customStyle="1" w:styleId="BulletList1">
    <w:name w:val="Bullet List 1"/>
    <w:aliases w:val="Bullet1"/>
    <w:basedOn w:val="Normal"/>
    <w:rsid w:val="00A41331"/>
    <w:pPr>
      <w:numPr>
        <w:numId w:val="2"/>
      </w:numPr>
      <w:spacing w:after="240" w:line="300" w:lineRule="atLeast"/>
      <w:jc w:val="both"/>
    </w:pPr>
    <w:rPr>
      <w:rFonts w:eastAsia="Arial Unicode MS"/>
      <w:szCs w:val="20"/>
      <w:lang w:eastAsia="en-US"/>
    </w:rPr>
  </w:style>
  <w:style w:type="paragraph" w:customStyle="1" w:styleId="BulletList2">
    <w:name w:val="Bullet List 2"/>
    <w:aliases w:val="Bullet2"/>
    <w:basedOn w:val="Normal"/>
    <w:rsid w:val="00A41331"/>
    <w:pPr>
      <w:numPr>
        <w:numId w:val="3"/>
      </w:numPr>
      <w:spacing w:after="120" w:line="240" w:lineRule="auto"/>
      <w:ind w:left="1080" w:hanging="720"/>
      <w:jc w:val="both"/>
    </w:pPr>
    <w:rPr>
      <w:rFonts w:eastAsia="Arial Unicode MS"/>
      <w:szCs w:val="20"/>
      <w:lang w:eastAsia="en-US"/>
    </w:rPr>
  </w:style>
  <w:style w:type="paragraph" w:customStyle="1" w:styleId="BulletList3">
    <w:name w:val="Bullet List 3"/>
    <w:aliases w:val="Bullet3"/>
    <w:basedOn w:val="Normal"/>
    <w:rsid w:val="00A41331"/>
    <w:pPr>
      <w:numPr>
        <w:numId w:val="4"/>
      </w:numPr>
      <w:spacing w:after="240" w:line="240" w:lineRule="auto"/>
      <w:jc w:val="both"/>
    </w:pPr>
    <w:rPr>
      <w:rFonts w:eastAsia="Arial Unicode MS"/>
      <w:szCs w:val="20"/>
      <w:lang w:eastAsia="en-US"/>
    </w:rPr>
  </w:style>
  <w:style w:type="paragraph" w:customStyle="1" w:styleId="ClauseNoTitle">
    <w:name w:val="Clause No Title"/>
    <w:basedOn w:val="TitleClause"/>
    <w:rsid w:val="00A41331"/>
    <w:rPr>
      <w:b w:val="0"/>
      <w:smallCaps/>
    </w:rPr>
  </w:style>
  <w:style w:type="paragraph" w:customStyle="1" w:styleId="ClosingPara">
    <w:name w:val="Closing Para"/>
    <w:basedOn w:val="Normal"/>
    <w:rsid w:val="00A41331"/>
    <w:pPr>
      <w:spacing w:before="120" w:after="240" w:line="300" w:lineRule="atLeast"/>
      <w:jc w:val="both"/>
    </w:pPr>
    <w:rPr>
      <w:rFonts w:eastAsia="Arial Unicode MS"/>
      <w:szCs w:val="20"/>
      <w:lang w:eastAsia="en-US"/>
    </w:rPr>
  </w:style>
  <w:style w:type="paragraph" w:customStyle="1" w:styleId="ClosingSignOff">
    <w:name w:val="Closing SignOff"/>
    <w:basedOn w:val="Normal"/>
    <w:rsid w:val="00A41331"/>
    <w:pPr>
      <w:spacing w:after="120" w:line="300" w:lineRule="atLeast"/>
      <w:jc w:val="both"/>
    </w:pPr>
    <w:rPr>
      <w:rFonts w:eastAsia="Arial Unicode MS"/>
      <w:szCs w:val="20"/>
      <w:lang w:eastAsia="en-US"/>
    </w:rPr>
  </w:style>
  <w:style w:type="paragraph" w:customStyle="1" w:styleId="CoversheetTitle">
    <w:name w:val="Coversheet Title"/>
    <w:basedOn w:val="Normal"/>
    <w:autoRedefine/>
    <w:rsid w:val="00A41331"/>
    <w:pPr>
      <w:spacing w:before="480" w:after="480" w:line="300" w:lineRule="atLeast"/>
      <w:jc w:val="center"/>
    </w:pPr>
    <w:rPr>
      <w:rFonts w:eastAsia="Arial Unicode MS"/>
      <w:b/>
      <w:smallCaps/>
      <w:sz w:val="28"/>
      <w:szCs w:val="20"/>
      <w:lang w:eastAsia="en-US"/>
    </w:rPr>
  </w:style>
  <w:style w:type="paragraph" w:customStyle="1" w:styleId="CoverSheetHeading">
    <w:name w:val="Cover Sheet Heading"/>
    <w:aliases w:val="Coversheet Title2"/>
    <w:basedOn w:val="CoversheetTitle"/>
    <w:rsid w:val="00A41331"/>
  </w:style>
  <w:style w:type="paragraph" w:customStyle="1" w:styleId="CoverSheetSubjectText">
    <w:name w:val="Cover Sheet Subject Text"/>
    <w:basedOn w:val="Normal"/>
    <w:rsid w:val="00A41331"/>
    <w:pPr>
      <w:spacing w:after="0" w:line="300" w:lineRule="atLeast"/>
      <w:jc w:val="center"/>
    </w:pPr>
    <w:rPr>
      <w:rFonts w:eastAsia="Arial Unicode MS"/>
      <w:szCs w:val="20"/>
      <w:lang w:eastAsia="en-US"/>
    </w:rPr>
  </w:style>
  <w:style w:type="paragraph" w:customStyle="1" w:styleId="CoverSheetSubjectTitle">
    <w:name w:val="Cover Sheet Subject Title"/>
    <w:basedOn w:val="Normal"/>
    <w:rsid w:val="00A41331"/>
    <w:pPr>
      <w:spacing w:after="0" w:line="300" w:lineRule="atLeast"/>
      <w:jc w:val="center"/>
    </w:pPr>
    <w:rPr>
      <w:rFonts w:eastAsia="Arial Unicode MS"/>
      <w:szCs w:val="20"/>
      <w:lang w:eastAsia="en-US"/>
    </w:rPr>
  </w:style>
  <w:style w:type="paragraph" w:customStyle="1" w:styleId="DraftingnoteSection1Para">
    <w:name w:val="Draftingnote Section1 Para"/>
    <w:basedOn w:val="Normal"/>
    <w:rsid w:val="00A41331"/>
    <w:pPr>
      <w:spacing w:after="120" w:line="300" w:lineRule="atLeast"/>
      <w:jc w:val="both"/>
    </w:pPr>
    <w:rPr>
      <w:rFonts w:eastAsia="Arial Unicode MS"/>
      <w:szCs w:val="20"/>
      <w:lang w:eastAsia="en-US"/>
    </w:rPr>
  </w:style>
  <w:style w:type="paragraph" w:customStyle="1" w:styleId="DraftingnoteSection1Title">
    <w:name w:val="Draftingnote Section1 Title"/>
    <w:basedOn w:val="Normal"/>
    <w:rsid w:val="00A41331"/>
    <w:pPr>
      <w:spacing w:after="120" w:line="300" w:lineRule="atLeast"/>
      <w:jc w:val="both"/>
    </w:pPr>
    <w:rPr>
      <w:rFonts w:eastAsia="Arial Unicode MS"/>
      <w:b/>
      <w:sz w:val="36"/>
      <w:szCs w:val="20"/>
      <w:lang w:eastAsia="en-US"/>
    </w:rPr>
  </w:style>
  <w:style w:type="paragraph" w:customStyle="1" w:styleId="DraftingnoteSection2Para">
    <w:name w:val="Draftingnote Section2 Para"/>
    <w:basedOn w:val="Normal"/>
    <w:rsid w:val="00A41331"/>
    <w:pPr>
      <w:spacing w:after="120" w:line="300" w:lineRule="atLeast"/>
      <w:jc w:val="both"/>
    </w:pPr>
    <w:rPr>
      <w:rFonts w:eastAsia="Arial Unicode MS"/>
      <w:szCs w:val="20"/>
      <w:lang w:eastAsia="en-US"/>
    </w:rPr>
  </w:style>
  <w:style w:type="paragraph" w:customStyle="1" w:styleId="DraftingnoteSection2Title">
    <w:name w:val="Draftingnote Section2 Title"/>
    <w:basedOn w:val="Normal"/>
    <w:rsid w:val="00A41331"/>
    <w:pPr>
      <w:spacing w:after="120" w:line="300" w:lineRule="atLeast"/>
      <w:jc w:val="both"/>
    </w:pPr>
    <w:rPr>
      <w:rFonts w:eastAsia="Arial Unicode MS"/>
      <w:b/>
      <w:sz w:val="28"/>
      <w:szCs w:val="20"/>
      <w:lang w:eastAsia="en-US"/>
    </w:rPr>
  </w:style>
  <w:style w:type="paragraph" w:customStyle="1" w:styleId="DraftingnoteSection3Para">
    <w:name w:val="Draftingnote Section3 Para"/>
    <w:basedOn w:val="Normal"/>
    <w:rsid w:val="00A41331"/>
    <w:pPr>
      <w:spacing w:after="120" w:line="300" w:lineRule="atLeast"/>
      <w:jc w:val="both"/>
    </w:pPr>
    <w:rPr>
      <w:rFonts w:eastAsia="Arial Unicode MS"/>
      <w:szCs w:val="20"/>
      <w:lang w:eastAsia="en-US"/>
    </w:rPr>
  </w:style>
  <w:style w:type="paragraph" w:customStyle="1" w:styleId="DraftingnoteSection3Title">
    <w:name w:val="Draftingnote Section3 Title"/>
    <w:basedOn w:val="Normal"/>
    <w:rsid w:val="00A41331"/>
    <w:pPr>
      <w:spacing w:after="120" w:line="300" w:lineRule="atLeast"/>
      <w:jc w:val="both"/>
    </w:pPr>
    <w:rPr>
      <w:rFonts w:eastAsia="Arial Unicode MS"/>
      <w:b/>
      <w:i/>
      <w:sz w:val="28"/>
      <w:szCs w:val="20"/>
      <w:lang w:eastAsia="en-US"/>
    </w:rPr>
  </w:style>
  <w:style w:type="paragraph" w:customStyle="1" w:styleId="DraftingnoteSection4Para">
    <w:name w:val="Draftingnote Section4 Para"/>
    <w:basedOn w:val="Normal"/>
    <w:rsid w:val="00A41331"/>
    <w:pPr>
      <w:spacing w:after="120" w:line="300" w:lineRule="atLeast"/>
      <w:jc w:val="both"/>
    </w:pPr>
    <w:rPr>
      <w:rFonts w:eastAsia="Arial Unicode MS"/>
      <w:szCs w:val="20"/>
      <w:lang w:eastAsia="en-US"/>
    </w:rPr>
  </w:style>
  <w:style w:type="paragraph" w:customStyle="1" w:styleId="DraftingnoteSection4Title">
    <w:name w:val="Draftingnote Section4 Title"/>
    <w:basedOn w:val="Normal"/>
    <w:rsid w:val="00A41331"/>
    <w:pPr>
      <w:spacing w:after="120" w:line="300" w:lineRule="atLeast"/>
      <w:jc w:val="both"/>
    </w:pPr>
    <w:rPr>
      <w:rFonts w:eastAsia="Arial Unicode MS"/>
      <w:b/>
      <w:i/>
      <w:sz w:val="28"/>
      <w:szCs w:val="20"/>
      <w:lang w:eastAsia="en-US"/>
    </w:rPr>
  </w:style>
  <w:style w:type="paragraph" w:customStyle="1" w:styleId="FulltextBridgehead">
    <w:name w:val="Fulltext Bridgehead"/>
    <w:basedOn w:val="Normal"/>
    <w:rsid w:val="00A41331"/>
    <w:pPr>
      <w:spacing w:after="120" w:line="300" w:lineRule="atLeast"/>
      <w:jc w:val="both"/>
    </w:pPr>
    <w:rPr>
      <w:rFonts w:eastAsia="Arial Unicode MS"/>
      <w:b/>
      <w:sz w:val="48"/>
      <w:szCs w:val="20"/>
      <w:lang w:eastAsia="en-US"/>
    </w:rPr>
  </w:style>
  <w:style w:type="paragraph" w:customStyle="1" w:styleId="FulltextSection1Para">
    <w:name w:val="Fulltext Section1 Para"/>
    <w:basedOn w:val="Normal"/>
    <w:rsid w:val="00A41331"/>
    <w:pPr>
      <w:spacing w:after="120" w:line="300" w:lineRule="atLeast"/>
      <w:jc w:val="both"/>
    </w:pPr>
    <w:rPr>
      <w:rFonts w:eastAsia="Arial Unicode MS"/>
      <w:szCs w:val="20"/>
      <w:lang w:eastAsia="en-US"/>
    </w:rPr>
  </w:style>
  <w:style w:type="paragraph" w:customStyle="1" w:styleId="FulltextSection1Title">
    <w:name w:val="Fulltext Section1 Title"/>
    <w:basedOn w:val="Normal"/>
    <w:rsid w:val="00A41331"/>
    <w:pPr>
      <w:spacing w:after="120" w:line="300" w:lineRule="atLeast"/>
      <w:jc w:val="both"/>
    </w:pPr>
    <w:rPr>
      <w:rFonts w:eastAsia="Arial Unicode MS"/>
      <w:b/>
      <w:sz w:val="36"/>
      <w:szCs w:val="20"/>
      <w:lang w:eastAsia="en-US"/>
    </w:rPr>
  </w:style>
  <w:style w:type="paragraph" w:customStyle="1" w:styleId="FulltextSection2Para">
    <w:name w:val="Fulltext Section2 Para"/>
    <w:basedOn w:val="Normal"/>
    <w:rsid w:val="00A41331"/>
    <w:pPr>
      <w:spacing w:after="120" w:line="300" w:lineRule="atLeast"/>
      <w:jc w:val="both"/>
    </w:pPr>
    <w:rPr>
      <w:rFonts w:eastAsia="Arial Unicode MS"/>
      <w:szCs w:val="20"/>
      <w:lang w:eastAsia="en-US"/>
    </w:rPr>
  </w:style>
  <w:style w:type="paragraph" w:customStyle="1" w:styleId="FulltextSection2Title">
    <w:name w:val="Fulltext Section2 Title"/>
    <w:basedOn w:val="Normal"/>
    <w:rsid w:val="00A41331"/>
    <w:pPr>
      <w:spacing w:after="120" w:line="300" w:lineRule="atLeast"/>
      <w:jc w:val="both"/>
    </w:pPr>
    <w:rPr>
      <w:rFonts w:eastAsia="Arial Unicode MS"/>
      <w:b/>
      <w:sz w:val="28"/>
      <w:szCs w:val="20"/>
      <w:lang w:eastAsia="en-US"/>
    </w:rPr>
  </w:style>
  <w:style w:type="paragraph" w:customStyle="1" w:styleId="FulltextSection3Para">
    <w:name w:val="Fulltext Section3 Para"/>
    <w:basedOn w:val="Normal"/>
    <w:rsid w:val="00A41331"/>
    <w:pPr>
      <w:spacing w:after="120" w:line="300" w:lineRule="atLeast"/>
      <w:jc w:val="both"/>
    </w:pPr>
    <w:rPr>
      <w:rFonts w:eastAsia="Arial Unicode MS"/>
      <w:szCs w:val="20"/>
      <w:lang w:eastAsia="en-US"/>
    </w:rPr>
  </w:style>
  <w:style w:type="paragraph" w:customStyle="1" w:styleId="FulltextSection3Title">
    <w:name w:val="Fulltext Section3 Title"/>
    <w:basedOn w:val="Normal"/>
    <w:rsid w:val="00A41331"/>
    <w:pPr>
      <w:spacing w:after="120" w:line="300" w:lineRule="atLeast"/>
      <w:jc w:val="both"/>
    </w:pPr>
    <w:rPr>
      <w:rFonts w:eastAsia="Arial Unicode MS"/>
      <w:b/>
      <w:i/>
      <w:sz w:val="28"/>
      <w:szCs w:val="20"/>
      <w:lang w:eastAsia="en-US"/>
    </w:rPr>
  </w:style>
  <w:style w:type="paragraph" w:customStyle="1" w:styleId="FulltextSection4Para">
    <w:name w:val="Fulltext Section4 Para"/>
    <w:basedOn w:val="Normal"/>
    <w:rsid w:val="00A41331"/>
    <w:pPr>
      <w:spacing w:after="120" w:line="300" w:lineRule="atLeast"/>
      <w:jc w:val="both"/>
    </w:pPr>
    <w:rPr>
      <w:rFonts w:eastAsia="Arial Unicode MS"/>
      <w:szCs w:val="20"/>
      <w:lang w:eastAsia="en-US"/>
    </w:rPr>
  </w:style>
  <w:style w:type="paragraph" w:customStyle="1" w:styleId="FulltextSection4Title">
    <w:name w:val="Fulltext Section4 Title"/>
    <w:basedOn w:val="Normal"/>
    <w:rsid w:val="00A41331"/>
    <w:pPr>
      <w:spacing w:after="120" w:line="300" w:lineRule="atLeast"/>
      <w:jc w:val="both"/>
    </w:pPr>
    <w:rPr>
      <w:rFonts w:eastAsia="Arial Unicode MS"/>
      <w:b/>
      <w:i/>
      <w:sz w:val="28"/>
      <w:szCs w:val="20"/>
      <w:lang w:eastAsia="en-US"/>
    </w:rPr>
  </w:style>
  <w:style w:type="paragraph" w:customStyle="1" w:styleId="GlossItemGlossdefPara">
    <w:name w:val="GlossItem Glossdef Para"/>
    <w:basedOn w:val="Normal"/>
    <w:rsid w:val="00A41331"/>
    <w:pPr>
      <w:spacing w:after="120" w:line="300" w:lineRule="atLeast"/>
      <w:jc w:val="both"/>
    </w:pPr>
    <w:rPr>
      <w:rFonts w:eastAsia="Arial Unicode MS"/>
      <w:szCs w:val="20"/>
      <w:lang w:eastAsia="en-US"/>
    </w:rPr>
  </w:style>
  <w:style w:type="paragraph" w:customStyle="1" w:styleId="GlossItemGlossterm">
    <w:name w:val="GlossItem Glossterm"/>
    <w:basedOn w:val="Normal"/>
    <w:rsid w:val="00A41331"/>
    <w:pPr>
      <w:spacing w:after="120" w:line="300" w:lineRule="atLeast"/>
      <w:jc w:val="both"/>
    </w:pPr>
    <w:rPr>
      <w:rFonts w:eastAsia="Arial Unicode MS"/>
      <w:b/>
      <w:sz w:val="48"/>
      <w:szCs w:val="20"/>
      <w:lang w:eastAsia="en-US"/>
    </w:rPr>
  </w:style>
  <w:style w:type="paragraph" w:customStyle="1" w:styleId="HeadingAddressLine">
    <w:name w:val="Heading Address Line"/>
    <w:basedOn w:val="Normal"/>
    <w:rsid w:val="00A41331"/>
    <w:pPr>
      <w:spacing w:after="120" w:line="300" w:lineRule="atLeast"/>
      <w:jc w:val="both"/>
    </w:pPr>
    <w:rPr>
      <w:rFonts w:eastAsia="Arial Unicode MS"/>
      <w:szCs w:val="20"/>
      <w:lang w:eastAsia="en-US"/>
    </w:rPr>
  </w:style>
  <w:style w:type="paragraph" w:customStyle="1" w:styleId="HeadingDate">
    <w:name w:val="Heading Date"/>
    <w:basedOn w:val="Normal"/>
    <w:rsid w:val="00A41331"/>
    <w:pPr>
      <w:spacing w:after="120" w:line="300" w:lineRule="atLeast"/>
      <w:jc w:val="both"/>
    </w:pPr>
    <w:rPr>
      <w:rFonts w:eastAsia="Arial Unicode MS"/>
      <w:szCs w:val="20"/>
      <w:lang w:eastAsia="en-US"/>
    </w:rPr>
  </w:style>
  <w:style w:type="paragraph" w:customStyle="1" w:styleId="HeadingLetterheadBasedOnAttribute">
    <w:name w:val="Heading Letterhead Based On Attribute"/>
    <w:basedOn w:val="Normal"/>
    <w:rsid w:val="00A41331"/>
    <w:pPr>
      <w:spacing w:after="120" w:line="300" w:lineRule="atLeast"/>
      <w:jc w:val="both"/>
    </w:pPr>
    <w:rPr>
      <w:rFonts w:eastAsia="Arial Unicode MS"/>
      <w:szCs w:val="20"/>
      <w:lang w:eastAsia="en-US"/>
    </w:rPr>
  </w:style>
  <w:style w:type="paragraph" w:customStyle="1" w:styleId="HeadingSalutation">
    <w:name w:val="Heading Salutation"/>
    <w:basedOn w:val="Normal"/>
    <w:rsid w:val="00A41331"/>
    <w:pPr>
      <w:spacing w:after="120" w:line="300" w:lineRule="atLeast"/>
      <w:jc w:val="both"/>
    </w:pPr>
    <w:rPr>
      <w:rFonts w:eastAsia="Arial Unicode MS"/>
      <w:szCs w:val="20"/>
      <w:lang w:eastAsia="en-US"/>
    </w:rPr>
  </w:style>
  <w:style w:type="paragraph" w:customStyle="1" w:styleId="InternalAuthor">
    <w:name w:val="Internal Author"/>
    <w:link w:val="InternalAuthorChar"/>
    <w:rsid w:val="00A41331"/>
    <w:pPr>
      <w:spacing w:after="120" w:line="240" w:lineRule="auto"/>
    </w:pPr>
    <w:rPr>
      <w:rFonts w:ascii="Arial" w:eastAsia="Arial Unicode MS" w:hAnsi="Arial" w:cs="Arial"/>
      <w:color w:val="000000"/>
      <w:sz w:val="24"/>
      <w:lang w:val="en-US" w:eastAsia="en-US"/>
    </w:rPr>
  </w:style>
  <w:style w:type="character" w:customStyle="1" w:styleId="InternalAuthorChar">
    <w:name w:val="Internal Author Char"/>
    <w:link w:val="InternalAuthor"/>
    <w:rsid w:val="00A41331"/>
    <w:rPr>
      <w:rFonts w:ascii="Arial" w:eastAsia="Arial Unicode MS" w:hAnsi="Arial" w:cs="Arial"/>
      <w:color w:val="000000"/>
      <w:sz w:val="24"/>
      <w:lang w:val="en-US" w:eastAsia="en-US"/>
    </w:rPr>
  </w:style>
  <w:style w:type="paragraph" w:customStyle="1" w:styleId="MaintenanceEditor">
    <w:name w:val="Maintenance Editor"/>
    <w:link w:val="MaintenanceEditorChar"/>
    <w:rsid w:val="00A41331"/>
    <w:pPr>
      <w:spacing w:after="120" w:line="240" w:lineRule="auto"/>
    </w:pPr>
    <w:rPr>
      <w:rFonts w:ascii="Arial" w:eastAsia="Arial Unicode MS" w:hAnsi="Arial" w:cs="Arial"/>
      <w:color w:val="000000"/>
      <w:sz w:val="24"/>
      <w:lang w:val="en-US" w:eastAsia="en-US"/>
    </w:rPr>
  </w:style>
  <w:style w:type="character" w:customStyle="1" w:styleId="MaintenanceEditorChar">
    <w:name w:val="Maintenance Editor Char"/>
    <w:link w:val="MaintenanceEditor"/>
    <w:rsid w:val="00A41331"/>
    <w:rPr>
      <w:rFonts w:ascii="Arial" w:eastAsia="Arial Unicode MS" w:hAnsi="Arial" w:cs="Arial"/>
      <w:color w:val="000000"/>
      <w:sz w:val="24"/>
      <w:lang w:val="en-US" w:eastAsia="en-US"/>
    </w:rPr>
  </w:style>
  <w:style w:type="paragraph" w:customStyle="1" w:styleId="Parasubclause1">
    <w:name w:val="Para subclause 1"/>
    <w:aliases w:val="BIWS Heading 2"/>
    <w:basedOn w:val="Normal"/>
    <w:rsid w:val="00A41331"/>
    <w:pPr>
      <w:spacing w:before="240" w:after="120" w:line="300" w:lineRule="atLeast"/>
      <w:ind w:left="720"/>
      <w:jc w:val="both"/>
    </w:pPr>
    <w:rPr>
      <w:rFonts w:eastAsia="Arial Unicode MS"/>
      <w:szCs w:val="20"/>
      <w:lang w:eastAsia="en-US"/>
    </w:rPr>
  </w:style>
  <w:style w:type="paragraph" w:customStyle="1" w:styleId="Parasubclause2">
    <w:name w:val="Para subclause 2"/>
    <w:basedOn w:val="Normal"/>
    <w:rsid w:val="00A41331"/>
    <w:pPr>
      <w:spacing w:after="240" w:line="300" w:lineRule="atLeast"/>
      <w:ind w:left="1559"/>
      <w:jc w:val="both"/>
    </w:pPr>
    <w:rPr>
      <w:rFonts w:eastAsia="Arial Unicode MS"/>
      <w:szCs w:val="20"/>
      <w:lang w:eastAsia="en-US"/>
    </w:rPr>
  </w:style>
  <w:style w:type="paragraph" w:customStyle="1" w:styleId="Parasubclause3">
    <w:name w:val="Para subclause 3"/>
    <w:basedOn w:val="Normal"/>
    <w:next w:val="Untitledsubclause2"/>
    <w:rsid w:val="00A41331"/>
    <w:pPr>
      <w:spacing w:after="120" w:line="300" w:lineRule="atLeast"/>
      <w:ind w:left="2268"/>
      <w:jc w:val="both"/>
    </w:pPr>
    <w:rPr>
      <w:rFonts w:eastAsia="Arial Unicode MS"/>
      <w:szCs w:val="20"/>
      <w:lang w:eastAsia="en-US"/>
    </w:rPr>
  </w:style>
  <w:style w:type="paragraph" w:customStyle="1" w:styleId="Parasubclause4">
    <w:name w:val="Para subclause 4"/>
    <w:basedOn w:val="Parasubclause3"/>
    <w:rsid w:val="00A41331"/>
    <w:pPr>
      <w:spacing w:after="240"/>
      <w:ind w:left="3028"/>
    </w:pPr>
  </w:style>
  <w:style w:type="paragraph" w:customStyle="1" w:styleId="Para">
    <w:name w:val="Para"/>
    <w:aliases w:val="PLC Style - Normal"/>
    <w:basedOn w:val="Normal"/>
    <w:rsid w:val="00A41331"/>
    <w:pPr>
      <w:spacing w:after="120" w:line="300" w:lineRule="atLeast"/>
      <w:jc w:val="both"/>
    </w:pPr>
    <w:rPr>
      <w:rFonts w:eastAsia="Arial Unicode MS"/>
      <w:szCs w:val="20"/>
      <w:lang w:eastAsia="en-US"/>
    </w:rPr>
  </w:style>
  <w:style w:type="paragraph" w:customStyle="1" w:styleId="Parties">
    <w:name w:val="Parties"/>
    <w:aliases w:val="(1) Parties"/>
    <w:basedOn w:val="Normal"/>
    <w:rsid w:val="00A41331"/>
    <w:pPr>
      <w:numPr>
        <w:numId w:val="5"/>
      </w:numPr>
      <w:spacing w:before="120" w:after="120" w:line="300" w:lineRule="atLeast"/>
      <w:jc w:val="both"/>
    </w:pPr>
    <w:rPr>
      <w:rFonts w:eastAsia="Arial Unicode MS"/>
      <w:szCs w:val="20"/>
      <w:lang w:eastAsia="en-US"/>
    </w:rPr>
  </w:style>
  <w:style w:type="paragraph" w:customStyle="1" w:styleId="ResourceHistoryAuthor">
    <w:name w:val="Resource History Author"/>
    <w:link w:val="ResourceHistoryAuthorChar"/>
    <w:rsid w:val="00A41331"/>
    <w:pPr>
      <w:spacing w:after="120" w:line="240" w:lineRule="auto"/>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A41331"/>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A41331"/>
    <w:pPr>
      <w:spacing w:after="120" w:line="240" w:lineRule="auto"/>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A41331"/>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A41331"/>
    <w:pPr>
      <w:spacing w:after="120" w:line="240" w:lineRule="auto"/>
    </w:pPr>
    <w:rPr>
      <w:rFonts w:ascii="Verdana" w:eastAsia="Times New Roman" w:hAnsi="Verdana" w:cs="Verdana"/>
      <w:color w:val="000000"/>
      <w:sz w:val="18"/>
      <w:szCs w:val="24"/>
      <w:lang w:val="en-US" w:eastAsia="en-US"/>
    </w:rPr>
  </w:style>
  <w:style w:type="character" w:customStyle="1" w:styleId="ResourceHistoryDescChar">
    <w:name w:val="Resource History Desc Char"/>
    <w:link w:val="ResourceHistoryDesc"/>
    <w:rsid w:val="00A41331"/>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A41331"/>
    <w:pPr>
      <w:spacing w:after="120" w:line="240" w:lineRule="auto"/>
    </w:pPr>
    <w:rPr>
      <w:rFonts w:ascii="Arial" w:eastAsia="Arial Unicode MS" w:hAnsi="Arial" w:cs="Arial"/>
      <w:b/>
      <w:bCs/>
      <w:color w:val="000000"/>
      <w:sz w:val="24"/>
      <w:lang w:val="en-US" w:eastAsia="en-US"/>
    </w:rPr>
  </w:style>
  <w:style w:type="character" w:customStyle="1" w:styleId="ResourceHistoryTitleChar">
    <w:name w:val="Resource History Title Char"/>
    <w:link w:val="ResourceHistoryTitle"/>
    <w:rsid w:val="00A41331"/>
    <w:rPr>
      <w:rFonts w:ascii="Arial" w:eastAsia="Arial Unicode MS" w:hAnsi="Arial" w:cs="Arial"/>
      <w:b/>
      <w:bCs/>
      <w:color w:val="000000"/>
      <w:sz w:val="24"/>
      <w:lang w:val="en-US" w:eastAsia="en-US"/>
    </w:rPr>
  </w:style>
  <w:style w:type="paragraph" w:customStyle="1" w:styleId="ResourceType">
    <w:name w:val="Resource Type"/>
    <w:link w:val="ResourceTypeChar"/>
    <w:rsid w:val="00A41331"/>
    <w:pPr>
      <w:spacing w:after="120" w:line="240" w:lineRule="auto"/>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A41331"/>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A41331"/>
    <w:pPr>
      <w:numPr>
        <w:numId w:val="6"/>
      </w:numPr>
      <w:spacing w:before="240" w:after="360" w:line="300" w:lineRule="atLeast"/>
      <w:jc w:val="both"/>
    </w:pPr>
    <w:rPr>
      <w:rFonts w:eastAsia="Arial Unicode MS"/>
      <w:b/>
      <w:kern w:val="28"/>
      <w:szCs w:val="20"/>
      <w:lang w:eastAsia="en-US"/>
    </w:rPr>
  </w:style>
  <w:style w:type="paragraph" w:customStyle="1" w:styleId="ScheduleHeading">
    <w:name w:val="Schedule Heading"/>
    <w:aliases w:val="Sch   main head"/>
    <w:basedOn w:val="Normal"/>
    <w:next w:val="Normal"/>
    <w:autoRedefine/>
    <w:rsid w:val="00A41331"/>
    <w:pPr>
      <w:keepNext/>
      <w:pageBreakBefore/>
      <w:numPr>
        <w:numId w:val="7"/>
      </w:numPr>
      <w:spacing w:before="240" w:after="360" w:line="300" w:lineRule="atLeast"/>
      <w:jc w:val="center"/>
      <w:outlineLvl w:val="0"/>
    </w:pPr>
    <w:rPr>
      <w:rFonts w:eastAsia="Arial Unicode MS"/>
      <w:b/>
      <w:kern w:val="28"/>
      <w:szCs w:val="20"/>
      <w:lang w:eastAsia="en-US"/>
    </w:rPr>
  </w:style>
  <w:style w:type="paragraph" w:customStyle="1" w:styleId="SectionHeading">
    <w:name w:val="Section Heading"/>
    <w:aliases w:val="1stIntroHeadings"/>
    <w:basedOn w:val="Normal"/>
    <w:next w:val="Normal"/>
    <w:rsid w:val="00A41331"/>
    <w:pPr>
      <w:tabs>
        <w:tab w:val="left" w:pos="709"/>
      </w:tabs>
      <w:spacing w:before="120" w:after="120" w:line="300" w:lineRule="atLeast"/>
      <w:jc w:val="both"/>
    </w:pPr>
    <w:rPr>
      <w:rFonts w:eastAsia="Arial Unicode MS"/>
      <w:b/>
      <w:smallCaps/>
      <w:sz w:val="24"/>
      <w:szCs w:val="20"/>
      <w:lang w:eastAsia="en-US"/>
    </w:rPr>
  </w:style>
  <w:style w:type="paragraph" w:customStyle="1" w:styleId="Shortquestion">
    <w:name w:val="Shortquestion"/>
    <w:basedOn w:val="Normal"/>
    <w:rsid w:val="00A41331"/>
    <w:pPr>
      <w:spacing w:after="120" w:line="300" w:lineRule="atLeast"/>
      <w:jc w:val="both"/>
    </w:pPr>
    <w:rPr>
      <w:rFonts w:eastAsia="Arial Unicode MS"/>
      <w:szCs w:val="20"/>
      <w:lang w:eastAsia="en-US"/>
    </w:rPr>
  </w:style>
  <w:style w:type="paragraph" w:customStyle="1" w:styleId="SpeedreadPara">
    <w:name w:val="Speedread Para"/>
    <w:basedOn w:val="Normal"/>
    <w:rsid w:val="00A41331"/>
    <w:pPr>
      <w:spacing w:after="120" w:line="300" w:lineRule="atLeast"/>
      <w:jc w:val="both"/>
    </w:pPr>
    <w:rPr>
      <w:rFonts w:eastAsia="Arial Unicode MS"/>
      <w:szCs w:val="20"/>
      <w:lang w:eastAsia="en-US"/>
    </w:rPr>
  </w:style>
  <w:style w:type="paragraph" w:customStyle="1" w:styleId="SpeedreadSection1Para">
    <w:name w:val="Speedread Section1 Para"/>
    <w:basedOn w:val="Normal"/>
    <w:rsid w:val="00A41331"/>
    <w:pPr>
      <w:spacing w:after="120" w:line="300" w:lineRule="atLeast"/>
      <w:jc w:val="both"/>
    </w:pPr>
    <w:rPr>
      <w:rFonts w:eastAsia="Arial Unicode MS"/>
      <w:szCs w:val="20"/>
      <w:lang w:eastAsia="en-US"/>
    </w:rPr>
  </w:style>
  <w:style w:type="paragraph" w:customStyle="1" w:styleId="SpeedreadSection1Text">
    <w:name w:val="Speedread Section1 Text"/>
    <w:basedOn w:val="Normal"/>
    <w:rsid w:val="00A41331"/>
    <w:pPr>
      <w:spacing w:after="120" w:line="300" w:lineRule="atLeast"/>
      <w:jc w:val="both"/>
    </w:pPr>
    <w:rPr>
      <w:rFonts w:eastAsia="Arial Unicode MS"/>
      <w:szCs w:val="20"/>
      <w:lang w:eastAsia="en-US"/>
    </w:rPr>
  </w:style>
  <w:style w:type="paragraph" w:customStyle="1" w:styleId="SpeedreadText">
    <w:name w:val="Speedread Text"/>
    <w:basedOn w:val="Normal"/>
    <w:rsid w:val="00A41331"/>
    <w:pPr>
      <w:spacing w:after="120" w:line="300" w:lineRule="atLeast"/>
      <w:jc w:val="both"/>
    </w:pPr>
    <w:rPr>
      <w:rFonts w:eastAsia="Arial Unicode MS"/>
      <w:szCs w:val="20"/>
      <w:lang w:eastAsia="en-US"/>
    </w:rPr>
  </w:style>
  <w:style w:type="paragraph" w:customStyle="1" w:styleId="SpeedreadTitle">
    <w:name w:val="Speedread Title"/>
    <w:basedOn w:val="Normal"/>
    <w:rsid w:val="00A41331"/>
    <w:pPr>
      <w:spacing w:after="120" w:line="300" w:lineRule="atLeast"/>
      <w:jc w:val="both"/>
    </w:pPr>
    <w:rPr>
      <w:rFonts w:eastAsia="Arial Unicode MS"/>
      <w:b/>
      <w:sz w:val="36"/>
      <w:szCs w:val="20"/>
      <w:lang w:eastAsia="en-US"/>
    </w:rPr>
  </w:style>
  <w:style w:type="paragraph" w:customStyle="1" w:styleId="TemplateType">
    <w:name w:val="Template Type"/>
    <w:link w:val="TemplateTypeChar"/>
    <w:rsid w:val="00A41331"/>
    <w:pPr>
      <w:spacing w:after="120" w:line="240" w:lineRule="auto"/>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A41331"/>
    <w:rPr>
      <w:rFonts w:ascii="Arial" w:eastAsia="Arial Unicode MS" w:hAnsi="Arial" w:cs="Arial"/>
      <w:color w:val="000000"/>
      <w:sz w:val="24"/>
      <w:szCs w:val="24"/>
      <w:lang w:val="en-US" w:eastAsia="en-US"/>
    </w:rPr>
  </w:style>
  <w:style w:type="character" w:styleId="Hyperlink">
    <w:name w:val="Hyperlink"/>
    <w:basedOn w:val="DefaultParagraphFont"/>
    <w:uiPriority w:val="99"/>
    <w:rsid w:val="00A41331"/>
    <w:rPr>
      <w:i/>
      <w:color w:val="000000"/>
      <w:u w:val="single"/>
    </w:rPr>
  </w:style>
  <w:style w:type="paragraph" w:customStyle="1" w:styleId="Bullet4">
    <w:name w:val="Bullet4"/>
    <w:basedOn w:val="Normal"/>
    <w:rsid w:val="00A41331"/>
    <w:pPr>
      <w:numPr>
        <w:numId w:val="8"/>
      </w:numPr>
      <w:spacing w:after="240" w:line="240" w:lineRule="auto"/>
      <w:jc w:val="both"/>
    </w:pPr>
    <w:rPr>
      <w:rFonts w:ascii="Times New Roman" w:eastAsia="Times New Roman" w:hAnsi="Times New Roman" w:cs="Times New Roman"/>
      <w:szCs w:val="20"/>
      <w:lang w:eastAsia="en-US"/>
    </w:rPr>
  </w:style>
  <w:style w:type="paragraph" w:customStyle="1" w:styleId="IgnoredTemplateText">
    <w:name w:val="Ignored Template Text"/>
    <w:link w:val="IgnoredTemplateTextChar"/>
    <w:rsid w:val="00A41331"/>
    <w:pPr>
      <w:pBdr>
        <w:top w:val="single" w:sz="4" w:space="1" w:color="auto"/>
        <w:left w:val="single" w:sz="4" w:space="4" w:color="auto"/>
        <w:bottom w:val="single" w:sz="4" w:space="1" w:color="auto"/>
        <w:right w:val="single" w:sz="4" w:space="4" w:color="auto"/>
      </w:pBdr>
      <w:shd w:val="pct15" w:color="auto" w:fill="FBD4B4" w:themeFill="accent6" w:themeFillTint="66"/>
      <w:spacing w:after="120" w:line="240" w:lineRule="auto"/>
    </w:pPr>
    <w:rPr>
      <w:rFonts w:ascii="Arial" w:eastAsia="Arial Unicode MS" w:hAnsi="Arial" w:cs="Arial"/>
      <w:b/>
      <w:i/>
      <w:color w:val="000000"/>
      <w:szCs w:val="18"/>
      <w:lang w:val="en-US" w:eastAsia="en-US"/>
    </w:rPr>
  </w:style>
  <w:style w:type="character" w:customStyle="1" w:styleId="IgnoredTemplateTextChar">
    <w:name w:val="Ignored Template Text Char"/>
    <w:link w:val="IgnoredTemplateText"/>
    <w:rsid w:val="00A41331"/>
    <w:rPr>
      <w:rFonts w:ascii="Arial" w:eastAsia="Arial Unicode MS" w:hAnsi="Arial" w:cs="Arial"/>
      <w:b/>
      <w:i/>
      <w:color w:val="000000"/>
      <w:szCs w:val="18"/>
      <w:shd w:val="pct15" w:color="auto" w:fill="FBD4B4" w:themeFill="accent6" w:themeFillTint="66"/>
      <w:lang w:val="en-US" w:eastAsia="en-US"/>
    </w:rPr>
  </w:style>
  <w:style w:type="paragraph" w:customStyle="1" w:styleId="HeadingLevel1">
    <w:name w:val="Heading Level 1"/>
    <w:basedOn w:val="Normal"/>
    <w:next w:val="Paragraph"/>
    <w:rsid w:val="00A41331"/>
    <w:pPr>
      <w:keepNext/>
      <w:spacing w:after="120" w:line="300" w:lineRule="atLeast"/>
      <w:jc w:val="both"/>
      <w:outlineLvl w:val="1"/>
    </w:pPr>
    <w:rPr>
      <w:rFonts w:eastAsia="Arial Unicode MS"/>
      <w:b/>
      <w:sz w:val="36"/>
      <w:szCs w:val="20"/>
      <w:lang w:eastAsia="en-US"/>
    </w:rPr>
  </w:style>
  <w:style w:type="paragraph" w:customStyle="1" w:styleId="HeadingLevel2">
    <w:name w:val="Heading Level 2"/>
    <w:basedOn w:val="Normal"/>
    <w:next w:val="Paragraph"/>
    <w:rsid w:val="00A41331"/>
    <w:pPr>
      <w:keepNext/>
      <w:spacing w:after="120" w:line="300" w:lineRule="atLeast"/>
      <w:jc w:val="both"/>
      <w:outlineLvl w:val="2"/>
    </w:pPr>
    <w:rPr>
      <w:rFonts w:eastAsia="Arial Unicode MS"/>
      <w:b/>
      <w:sz w:val="28"/>
      <w:szCs w:val="20"/>
      <w:lang w:eastAsia="en-US"/>
    </w:rPr>
  </w:style>
  <w:style w:type="paragraph" w:customStyle="1" w:styleId="HeadingLevel3">
    <w:name w:val="Heading Level 3"/>
    <w:basedOn w:val="Normal"/>
    <w:next w:val="Paragraph"/>
    <w:rsid w:val="00A41331"/>
    <w:pPr>
      <w:keepNext/>
      <w:spacing w:after="120" w:line="300" w:lineRule="atLeast"/>
      <w:jc w:val="both"/>
      <w:outlineLvl w:val="3"/>
    </w:pPr>
    <w:rPr>
      <w:rFonts w:eastAsia="Arial Unicode MS"/>
      <w:b/>
      <w:i/>
      <w:sz w:val="28"/>
      <w:szCs w:val="20"/>
      <w:lang w:eastAsia="en-US"/>
    </w:rPr>
  </w:style>
  <w:style w:type="paragraph" w:customStyle="1" w:styleId="PinPointRef">
    <w:name w:val="PinPoint Ref"/>
    <w:link w:val="PinPointRefChar"/>
    <w:qFormat/>
    <w:rsid w:val="00A41331"/>
    <w:pPr>
      <w:spacing w:after="0" w:line="240" w:lineRule="auto"/>
    </w:pPr>
    <w:rPr>
      <w:rFonts w:ascii="Times New Roman" w:eastAsia="Times New Roman" w:hAnsi="Times New Roman" w:cs="Times New Roman"/>
      <w:b/>
      <w:vanish/>
      <w:color w:val="000000"/>
      <w:sz w:val="18"/>
      <w:szCs w:val="20"/>
      <w:lang w:eastAsia="en-US"/>
    </w:rPr>
  </w:style>
  <w:style w:type="character" w:customStyle="1" w:styleId="PinPointRefChar">
    <w:name w:val="PinPoint Ref Char"/>
    <w:basedOn w:val="DefaultParagraphFont"/>
    <w:link w:val="PinPointRef"/>
    <w:rsid w:val="00A41331"/>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A41331"/>
    <w:pPr>
      <w:spacing w:before="120" w:after="0" w:line="240" w:lineRule="auto"/>
      <w:ind w:left="720"/>
    </w:pPr>
    <w:rPr>
      <w:rFonts w:ascii="Arial" w:eastAsia="Arial Unicode MS" w:hAnsi="Arial" w:cs="Arial"/>
      <w:color w:val="000000"/>
      <w:sz w:val="18"/>
      <w:szCs w:val="20"/>
      <w:lang w:eastAsia="en-US"/>
    </w:rPr>
  </w:style>
  <w:style w:type="character" w:customStyle="1" w:styleId="BlockQuoteChar">
    <w:name w:val="Block Quote Char"/>
    <w:basedOn w:val="DefaultParagraphFont"/>
    <w:link w:val="BlockQuote"/>
    <w:rsid w:val="00A41331"/>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A41331"/>
    <w:pPr>
      <w:spacing w:after="120" w:line="240" w:lineRule="auto"/>
      <w:ind w:left="357"/>
      <w:jc w:val="both"/>
    </w:pPr>
    <w:rPr>
      <w:rFonts w:ascii="Arial" w:eastAsia="Arial Unicode MS" w:hAnsi="Arial" w:cs="Arial"/>
      <w:color w:val="000000"/>
      <w:szCs w:val="24"/>
      <w:lang w:val="en-US" w:eastAsia="en-US"/>
    </w:rPr>
  </w:style>
  <w:style w:type="paragraph" w:customStyle="1" w:styleId="ListParagraphLevel2">
    <w:name w:val="List Paragraph Level 2"/>
    <w:link w:val="ListParagraphLevel2Char"/>
    <w:qFormat/>
    <w:rsid w:val="00A41331"/>
    <w:pPr>
      <w:spacing w:after="120" w:line="240" w:lineRule="auto"/>
      <w:ind w:left="1077"/>
      <w:jc w:val="both"/>
    </w:pPr>
    <w:rPr>
      <w:rFonts w:ascii="Arial" w:eastAsia="Arial Unicode MS" w:hAnsi="Arial" w:cs="Arial"/>
      <w:color w:val="000000"/>
      <w:szCs w:val="24"/>
      <w:lang w:val="en-US" w:eastAsia="en-US"/>
    </w:rPr>
  </w:style>
  <w:style w:type="character" w:customStyle="1" w:styleId="ListParagraphLevel1Char">
    <w:name w:val="List Paragraph Level 1 Char"/>
    <w:basedOn w:val="DefaultParagraphFont"/>
    <w:link w:val="ListParagraphLevel1"/>
    <w:rsid w:val="00A41331"/>
    <w:rPr>
      <w:rFonts w:ascii="Arial" w:eastAsia="Arial Unicode MS" w:hAnsi="Arial" w:cs="Arial"/>
      <w:color w:val="000000"/>
      <w:szCs w:val="24"/>
      <w:lang w:val="en-US" w:eastAsia="en-US"/>
    </w:rPr>
  </w:style>
  <w:style w:type="character" w:customStyle="1" w:styleId="ListParagraphLevel2Char">
    <w:name w:val="List Paragraph Level 2 Char"/>
    <w:basedOn w:val="DefaultParagraphFont"/>
    <w:link w:val="ListParagraphLevel2"/>
    <w:rsid w:val="00A41331"/>
    <w:rPr>
      <w:rFonts w:ascii="Arial" w:eastAsia="Arial Unicode MS" w:hAnsi="Arial" w:cs="Arial"/>
      <w:color w:val="000000"/>
      <w:szCs w:val="24"/>
      <w:lang w:val="en-US" w:eastAsia="en-US"/>
    </w:rPr>
  </w:style>
  <w:style w:type="paragraph" w:customStyle="1" w:styleId="IntroCustom">
    <w:name w:val="Intro Custom"/>
    <w:basedOn w:val="Paragraph"/>
    <w:qFormat/>
    <w:rsid w:val="00A41331"/>
  </w:style>
  <w:style w:type="paragraph" w:customStyle="1" w:styleId="PrecedentType">
    <w:name w:val="Precedent Type"/>
    <w:basedOn w:val="IgnoredSpacing"/>
    <w:qFormat/>
    <w:rsid w:val="00A41331"/>
  </w:style>
  <w:style w:type="paragraph" w:customStyle="1" w:styleId="Operative">
    <w:name w:val="Operative"/>
    <w:basedOn w:val="IgnoredSpacing"/>
    <w:qFormat/>
    <w:rsid w:val="00A41331"/>
    <w:rPr>
      <w:vanish/>
    </w:rPr>
  </w:style>
  <w:style w:type="paragraph" w:customStyle="1" w:styleId="SpeedreadBulletList1">
    <w:name w:val="Speedread Bullet List 1"/>
    <w:basedOn w:val="BulletList1"/>
    <w:qFormat/>
    <w:rsid w:val="00A41331"/>
  </w:style>
  <w:style w:type="paragraph" w:customStyle="1" w:styleId="PartiesTitle">
    <w:name w:val="Parties Title"/>
    <w:basedOn w:val="Paragraph"/>
    <w:qFormat/>
    <w:rsid w:val="00A41331"/>
    <w:rPr>
      <w:b/>
    </w:rPr>
  </w:style>
  <w:style w:type="paragraph" w:customStyle="1" w:styleId="QuestionParagraph">
    <w:name w:val="Question Paragraph"/>
    <w:link w:val="QuestionParagraphChar"/>
    <w:qFormat/>
    <w:rsid w:val="00A41331"/>
    <w:pPr>
      <w:numPr>
        <w:numId w:val="9"/>
      </w:numPr>
      <w:shd w:val="clear" w:color="auto" w:fill="D9D9D9" w:themeFill="background1" w:themeFillShade="D9"/>
      <w:spacing w:after="120" w:line="240" w:lineRule="auto"/>
      <w:ind w:left="357" w:hanging="357"/>
      <w:outlineLvl w:val="0"/>
    </w:pPr>
    <w:rPr>
      <w:rFonts w:ascii="Arial" w:eastAsia="Arial Unicode MS" w:hAnsi="Arial" w:cs="Arial"/>
      <w:color w:val="000000"/>
      <w:lang w:val="en-US" w:eastAsia="en-US"/>
    </w:rPr>
  </w:style>
  <w:style w:type="paragraph" w:customStyle="1" w:styleId="BulletListPattern1">
    <w:name w:val="Bullet List Pattern 1"/>
    <w:basedOn w:val="BulletList1"/>
    <w:qFormat/>
    <w:rsid w:val="00A41331"/>
    <w:pPr>
      <w:shd w:val="clear" w:color="auto" w:fill="D9D9D9" w:themeFill="background1" w:themeFillShade="D9"/>
      <w:spacing w:after="120" w:line="240" w:lineRule="auto"/>
      <w:ind w:left="714" w:hanging="357"/>
    </w:pPr>
  </w:style>
  <w:style w:type="character" w:customStyle="1" w:styleId="QuestionParagraphChar">
    <w:name w:val="Question Paragraph Char"/>
    <w:basedOn w:val="DefaultParagraphFont"/>
    <w:link w:val="QuestionParagraph"/>
    <w:rsid w:val="00A41331"/>
    <w:rPr>
      <w:rFonts w:ascii="Arial" w:eastAsia="Arial Unicode MS" w:hAnsi="Arial" w:cs="Arial"/>
      <w:color w:val="000000"/>
      <w:shd w:val="clear" w:color="auto" w:fill="D9D9D9" w:themeFill="background1" w:themeFillShade="D9"/>
      <w:lang w:val="en-US" w:eastAsia="en-US"/>
    </w:rPr>
  </w:style>
  <w:style w:type="paragraph" w:customStyle="1" w:styleId="BulletListPattern2">
    <w:name w:val="Bullet List Pattern 2"/>
    <w:basedOn w:val="BulletList2"/>
    <w:qFormat/>
    <w:rsid w:val="00A41331"/>
    <w:pPr>
      <w:shd w:val="clear" w:color="auto" w:fill="D9D9D9" w:themeFill="background1" w:themeFillShade="D9"/>
      <w:ind w:left="1077"/>
    </w:pPr>
  </w:style>
  <w:style w:type="paragraph" w:customStyle="1" w:styleId="TestimoniumContract">
    <w:name w:val="Testimonium Contract"/>
    <w:basedOn w:val="Paragraph"/>
    <w:qFormat/>
    <w:rsid w:val="00A41331"/>
  </w:style>
  <w:style w:type="paragraph" w:customStyle="1" w:styleId="TestimoniumDeed">
    <w:name w:val="Testimonium Deed"/>
    <w:basedOn w:val="Paragraph"/>
    <w:qFormat/>
    <w:rsid w:val="00A41331"/>
  </w:style>
  <w:style w:type="paragraph" w:customStyle="1" w:styleId="Titlesubclause2">
    <w:name w:val="Title subclause2"/>
    <w:basedOn w:val="Untitledsubclause2"/>
    <w:qFormat/>
    <w:rsid w:val="00A41331"/>
    <w:rPr>
      <w:b/>
    </w:rPr>
  </w:style>
  <w:style w:type="paragraph" w:customStyle="1" w:styleId="Titlesubclause3">
    <w:name w:val="Title subclause3"/>
    <w:basedOn w:val="Untitledsubclause3"/>
    <w:qFormat/>
    <w:rsid w:val="00A41331"/>
    <w:rPr>
      <w:b/>
    </w:rPr>
  </w:style>
  <w:style w:type="paragraph" w:customStyle="1" w:styleId="Titlesubclause4">
    <w:name w:val="Title subclause4"/>
    <w:basedOn w:val="Untitledsubclause4"/>
    <w:qFormat/>
    <w:rsid w:val="00A41331"/>
    <w:rPr>
      <w:b/>
    </w:rPr>
  </w:style>
  <w:style w:type="paragraph" w:customStyle="1" w:styleId="UntitledClause">
    <w:name w:val="Untitled Clause"/>
    <w:basedOn w:val="TitleClause"/>
    <w:qFormat/>
    <w:rsid w:val="00A41331"/>
    <w:pPr>
      <w:spacing w:before="120"/>
    </w:pPr>
    <w:rPr>
      <w:b w:val="0"/>
    </w:rPr>
  </w:style>
  <w:style w:type="paragraph" w:customStyle="1" w:styleId="ScheduleUntitledClause">
    <w:name w:val="Schedule Untitled Clause"/>
    <w:basedOn w:val="ScheduleTitleClause"/>
    <w:qFormat/>
    <w:rsid w:val="00A41331"/>
    <w:pPr>
      <w:spacing w:before="120"/>
    </w:pPr>
    <w:rPr>
      <w:b w:val="0"/>
    </w:rPr>
  </w:style>
  <w:style w:type="paragraph" w:customStyle="1" w:styleId="Titlesubclause1">
    <w:name w:val="Title subclause1"/>
    <w:basedOn w:val="Untitledsubclause1"/>
    <w:qFormat/>
    <w:rsid w:val="00A41331"/>
    <w:pPr>
      <w:spacing w:before="120"/>
    </w:pPr>
    <w:rPr>
      <w:b/>
    </w:rPr>
  </w:style>
  <w:style w:type="paragraph" w:customStyle="1" w:styleId="AnnexTitle">
    <w:name w:val="Annex Title"/>
    <w:basedOn w:val="Paragraph"/>
    <w:next w:val="Paragraph"/>
    <w:qFormat/>
    <w:rsid w:val="00A41331"/>
    <w:pPr>
      <w:spacing w:before="240" w:after="240"/>
    </w:pPr>
    <w:rPr>
      <w:b/>
    </w:rPr>
  </w:style>
  <w:style w:type="paragraph" w:customStyle="1" w:styleId="PartTitle">
    <w:name w:val="Part Title"/>
    <w:basedOn w:val="Paragraph"/>
    <w:qFormat/>
    <w:rsid w:val="00A41331"/>
    <w:rPr>
      <w:b/>
    </w:rPr>
  </w:style>
  <w:style w:type="character" w:customStyle="1" w:styleId="apple-converted-space">
    <w:name w:val="apple-converted-space"/>
    <w:basedOn w:val="DefaultParagraphFont"/>
    <w:rsid w:val="00A41331"/>
    <w:rPr>
      <w:color w:val="000000"/>
    </w:rPr>
  </w:style>
  <w:style w:type="character" w:styleId="Emphasis">
    <w:name w:val="Emphasis"/>
    <w:basedOn w:val="DefaultParagraphFont"/>
    <w:uiPriority w:val="20"/>
    <w:qFormat/>
    <w:rsid w:val="00A41331"/>
    <w:rPr>
      <w:i/>
      <w:iCs/>
      <w:color w:val="000000"/>
    </w:rPr>
  </w:style>
  <w:style w:type="paragraph" w:customStyle="1" w:styleId="NoNumTitle-Clause">
    <w:name w:val="No Num Title - Clause"/>
    <w:basedOn w:val="TitleClause"/>
    <w:qFormat/>
    <w:rsid w:val="00A41331"/>
    <w:pPr>
      <w:numPr>
        <w:numId w:val="0"/>
      </w:numPr>
      <w:ind w:left="720"/>
    </w:pPr>
  </w:style>
  <w:style w:type="paragraph" w:customStyle="1" w:styleId="NoNumTitlesubclause1">
    <w:name w:val="No Num Title subclause1"/>
    <w:basedOn w:val="Titlesubclause1"/>
    <w:qFormat/>
    <w:rsid w:val="00A41331"/>
    <w:pPr>
      <w:numPr>
        <w:ilvl w:val="0"/>
        <w:numId w:val="0"/>
      </w:numPr>
      <w:ind w:left="720"/>
    </w:pPr>
  </w:style>
  <w:style w:type="paragraph" w:customStyle="1" w:styleId="AddressLine">
    <w:name w:val="Address Line"/>
    <w:basedOn w:val="Paragraph"/>
    <w:qFormat/>
    <w:rsid w:val="00A41331"/>
  </w:style>
  <w:style w:type="paragraph" w:styleId="Date">
    <w:name w:val="Date"/>
    <w:basedOn w:val="Paragraph"/>
    <w:qFormat/>
    <w:rsid w:val="00A41331"/>
  </w:style>
  <w:style w:type="paragraph" w:customStyle="1" w:styleId="SalutationPara">
    <w:name w:val="Salutation Para"/>
    <w:basedOn w:val="Paragraph"/>
    <w:next w:val="Paragraph"/>
    <w:qFormat/>
    <w:rsid w:val="00A41331"/>
    <w:pPr>
      <w:spacing w:before="240"/>
    </w:pPr>
  </w:style>
  <w:style w:type="character" w:styleId="FollowedHyperlink">
    <w:name w:val="FollowedHyperlink"/>
    <w:basedOn w:val="DefaultParagraphFont"/>
    <w:uiPriority w:val="99"/>
    <w:semiHidden/>
    <w:unhideWhenUsed/>
    <w:rsid w:val="00A41331"/>
    <w:rPr>
      <w:i/>
      <w:color w:val="000000"/>
      <w:u w:val="single"/>
    </w:rPr>
  </w:style>
  <w:style w:type="table" w:customStyle="1" w:styleId="ShadedTable">
    <w:name w:val="Shaded Table"/>
    <w:basedOn w:val="TableNormal"/>
    <w:uiPriority w:val="99"/>
    <w:rsid w:val="00A41331"/>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Letterhead">
    <w:name w:val="Letterhead"/>
    <w:basedOn w:val="Paragraph"/>
    <w:qFormat/>
    <w:rsid w:val="00A41331"/>
    <w:rPr>
      <w:i/>
    </w:rPr>
  </w:style>
  <w:style w:type="paragraph" w:customStyle="1" w:styleId="LetterTitle">
    <w:name w:val="Letter Title"/>
    <w:basedOn w:val="Paragraph"/>
    <w:qFormat/>
    <w:rsid w:val="00A41331"/>
    <w:rPr>
      <w:b/>
    </w:rPr>
  </w:style>
  <w:style w:type="paragraph" w:customStyle="1" w:styleId="LongQuestionPara">
    <w:name w:val="Long Question Para"/>
    <w:basedOn w:val="Paragraph"/>
    <w:link w:val="LongQuestionParaChar"/>
    <w:rsid w:val="00A41331"/>
    <w:pPr>
      <w:numPr>
        <w:numId w:val="12"/>
      </w:numPr>
      <w:spacing w:before="240" w:after="240" w:line="240" w:lineRule="auto"/>
      <w:outlineLvl w:val="1"/>
    </w:pPr>
    <w:rPr>
      <w:sz w:val="20"/>
      <w:lang w:val="en-US"/>
    </w:rPr>
  </w:style>
  <w:style w:type="character" w:customStyle="1" w:styleId="LongQuestionParaChar">
    <w:name w:val="Long Question Para Char"/>
    <w:basedOn w:val="DefaultParagraphFont"/>
    <w:link w:val="LongQuestionPara"/>
    <w:rsid w:val="00A41331"/>
    <w:rPr>
      <w:rFonts w:ascii="Arial" w:eastAsia="Arial Unicode MS" w:hAnsi="Arial" w:cs="Arial"/>
      <w:color w:val="000000"/>
      <w:sz w:val="20"/>
      <w:szCs w:val="20"/>
      <w:lang w:val="en-US" w:eastAsia="en-US"/>
    </w:rPr>
  </w:style>
  <w:style w:type="paragraph" w:customStyle="1" w:styleId="ShortQuestionPara">
    <w:name w:val="Short Question Para"/>
    <w:basedOn w:val="Paragraph"/>
    <w:link w:val="ShortQuestionParaChar"/>
    <w:rsid w:val="00A41331"/>
    <w:pPr>
      <w:shd w:val="clear" w:color="auto" w:fill="D9D9D9" w:themeFill="background1" w:themeFillShade="D9"/>
      <w:tabs>
        <w:tab w:val="left" w:pos="270"/>
      </w:tabs>
      <w:spacing w:after="40" w:line="240" w:lineRule="auto"/>
      <w:outlineLvl w:val="1"/>
    </w:pPr>
    <w:rPr>
      <w:bCs/>
      <w:sz w:val="20"/>
      <w:lang w:val="en-US"/>
    </w:rPr>
  </w:style>
  <w:style w:type="character" w:customStyle="1" w:styleId="ShortQuestionParaChar">
    <w:name w:val="Short Question Para Char"/>
    <w:basedOn w:val="DefaultParagraphFont"/>
    <w:link w:val="ShortQuestionPara"/>
    <w:rsid w:val="00A41331"/>
    <w:rPr>
      <w:rFonts w:ascii="Arial" w:eastAsia="Arial Unicode MS" w:hAnsi="Arial" w:cs="Arial"/>
      <w:bCs/>
      <w:color w:val="000000"/>
      <w:sz w:val="20"/>
      <w:szCs w:val="20"/>
      <w:shd w:val="clear" w:color="auto" w:fill="D9D9D9" w:themeFill="background1" w:themeFillShade="D9"/>
      <w:lang w:val="en-US" w:eastAsia="en-US"/>
    </w:rPr>
  </w:style>
  <w:style w:type="paragraph" w:customStyle="1" w:styleId="811D3A974D454A258B71E3C4DE24C4F210">
    <w:name w:val="811D3A974D454A258B71E3C4DE24C4F210"/>
    <w:rsid w:val="00A7263D"/>
    <w:pPr>
      <w:spacing w:after="120" w:line="240" w:lineRule="auto"/>
    </w:pPr>
    <w:rPr>
      <w:rFonts w:ascii="Arial" w:eastAsia="Arial Unicode MS" w:hAnsi="Arial" w:cs="Arial"/>
      <w:color w:val="000000"/>
      <w:sz w:val="24"/>
      <w:lang w:val="en-US" w:eastAsia="en-US"/>
    </w:rPr>
  </w:style>
  <w:style w:type="paragraph" w:customStyle="1" w:styleId="ListParagraphLevel3">
    <w:name w:val="List Paragraph Level 3"/>
    <w:qFormat/>
    <w:rsid w:val="00A41331"/>
    <w:pPr>
      <w:spacing w:after="120" w:line="240" w:lineRule="auto"/>
      <w:ind w:left="2160"/>
    </w:pPr>
    <w:rPr>
      <w:rFonts w:ascii="Times New Roman" w:eastAsia="Times New Roman" w:hAnsi="Times New Roman" w:cs="Times New Roman"/>
      <w:color w:val="000000"/>
      <w:sz w:val="24"/>
      <w:szCs w:val="20"/>
      <w:lang w:eastAsia="en-US"/>
    </w:rPr>
  </w:style>
  <w:style w:type="paragraph" w:customStyle="1" w:styleId="DocumentTitle">
    <w:name w:val="Document Title"/>
    <w:basedOn w:val="Paragraph"/>
    <w:qFormat/>
    <w:rsid w:val="00A41331"/>
    <w:pPr>
      <w:jc w:val="center"/>
    </w:pPr>
    <w:rPr>
      <w:sz w:val="28"/>
    </w:rPr>
  </w:style>
  <w:style w:type="paragraph" w:customStyle="1" w:styleId="Title-Clause">
    <w:name w:val="Title - Clause"/>
    <w:aliases w:val="BIWS Heading 1"/>
    <w:basedOn w:val="Normal"/>
    <w:rsid w:val="00A41331"/>
    <w:pPr>
      <w:keepNext/>
      <w:tabs>
        <w:tab w:val="num" w:pos="720"/>
      </w:tabs>
      <w:spacing w:before="240" w:after="240" w:line="300" w:lineRule="atLeast"/>
      <w:ind w:left="720" w:hanging="720"/>
      <w:jc w:val="both"/>
      <w:outlineLvl w:val="0"/>
    </w:pPr>
    <w:rPr>
      <w:rFonts w:eastAsia="Arial Unicode MS"/>
      <w:b/>
      <w:kern w:val="28"/>
      <w:szCs w:val="20"/>
      <w:lang w:eastAsia="en-US"/>
    </w:rPr>
  </w:style>
  <w:style w:type="paragraph" w:customStyle="1" w:styleId="Para-Clause-nonum">
    <w:name w:val="Para - Clause - no num"/>
    <w:aliases w:val="Body  clause"/>
    <w:basedOn w:val="Normal"/>
    <w:next w:val="Title-Clause"/>
    <w:rsid w:val="00A41331"/>
    <w:pPr>
      <w:spacing w:before="120" w:after="120" w:line="300" w:lineRule="atLeast"/>
      <w:ind w:left="720"/>
      <w:jc w:val="both"/>
    </w:pPr>
    <w:rPr>
      <w:rFonts w:eastAsia="Arial Unicode MS"/>
      <w:szCs w:val="20"/>
      <w:lang w:eastAsia="en-US"/>
    </w:rPr>
  </w:style>
  <w:style w:type="paragraph" w:customStyle="1" w:styleId="Para-Clause">
    <w:name w:val="Para - Clause"/>
    <w:basedOn w:val="Title-Clause"/>
    <w:qFormat/>
    <w:rsid w:val="00A41331"/>
    <w:pPr>
      <w:spacing w:before="120"/>
    </w:pPr>
    <w:rPr>
      <w:b w:val="0"/>
    </w:rPr>
  </w:style>
  <w:style w:type="paragraph" w:customStyle="1" w:styleId="CoversheetParagraph">
    <w:name w:val="Coversheet Paragraph"/>
    <w:basedOn w:val="Normal"/>
    <w:autoRedefine/>
    <w:rsid w:val="00A41331"/>
    <w:pPr>
      <w:spacing w:after="0" w:line="300" w:lineRule="atLeast"/>
      <w:jc w:val="center"/>
    </w:pPr>
    <w:rPr>
      <w:rFonts w:ascii="Times New Roman" w:eastAsia="Times New Roman" w:hAnsi="Times New Roman" w:cs="Times New Roman"/>
      <w:szCs w:val="20"/>
      <w:lang w:eastAsia="en-US"/>
    </w:rPr>
  </w:style>
  <w:style w:type="paragraph" w:customStyle="1" w:styleId="CoversheetIntro">
    <w:name w:val="Coversheet Intro"/>
    <w:basedOn w:val="CoversheetTitle"/>
    <w:qFormat/>
    <w:rsid w:val="00A41331"/>
    <w:rPr>
      <w:smallCaps w:val="0"/>
      <w:sz w:val="22"/>
    </w:rPr>
  </w:style>
  <w:style w:type="paragraph" w:customStyle="1" w:styleId="CoversheetStaticText">
    <w:name w:val="Coversheet Static Text"/>
    <w:basedOn w:val="CoversheetIntro"/>
    <w:qFormat/>
    <w:rsid w:val="00A41331"/>
    <w:rPr>
      <w:b w:val="0"/>
    </w:rPr>
  </w:style>
  <w:style w:type="paragraph" w:customStyle="1" w:styleId="CoversheetParty">
    <w:name w:val="Coversheet Party"/>
    <w:basedOn w:val="CoversheetIntro"/>
    <w:qFormat/>
    <w:rsid w:val="00A41331"/>
  </w:style>
  <w:style w:type="paragraph" w:customStyle="1" w:styleId="NoNumUntitledClause">
    <w:name w:val="No Num Untitled Clause"/>
    <w:basedOn w:val="UntitledClause"/>
    <w:qFormat/>
    <w:rsid w:val="00A41331"/>
    <w:pPr>
      <w:numPr>
        <w:numId w:val="0"/>
      </w:numPr>
      <w:ind w:left="720"/>
    </w:pPr>
  </w:style>
  <w:style w:type="paragraph" w:customStyle="1" w:styleId="HeadingLevel2CQA">
    <w:name w:val="Heading Level 2 CQA"/>
    <w:basedOn w:val="HeadingLevel2"/>
    <w:qFormat/>
    <w:rsid w:val="00A41331"/>
  </w:style>
  <w:style w:type="paragraph" w:customStyle="1" w:styleId="ClauseBullet1">
    <w:name w:val="Clause Bullet 1"/>
    <w:basedOn w:val="ParaClause"/>
    <w:qFormat/>
    <w:rsid w:val="00A41331"/>
    <w:pPr>
      <w:numPr>
        <w:numId w:val="13"/>
      </w:numPr>
      <w:ind w:left="1077" w:hanging="357"/>
      <w:outlineLvl w:val="0"/>
    </w:pPr>
  </w:style>
  <w:style w:type="paragraph" w:customStyle="1" w:styleId="ClauseBullet2">
    <w:name w:val="Clause Bullet 2"/>
    <w:basedOn w:val="ParaClause"/>
    <w:qFormat/>
    <w:rsid w:val="00A41331"/>
    <w:pPr>
      <w:numPr>
        <w:numId w:val="14"/>
      </w:numPr>
      <w:ind w:left="1434" w:hanging="357"/>
      <w:outlineLvl w:val="1"/>
    </w:pPr>
  </w:style>
  <w:style w:type="paragraph" w:customStyle="1" w:styleId="subclause1Bullet1">
    <w:name w:val="subclause 1 Bullet 1"/>
    <w:basedOn w:val="Parasubclause1"/>
    <w:qFormat/>
    <w:rsid w:val="00A41331"/>
    <w:pPr>
      <w:numPr>
        <w:numId w:val="15"/>
      </w:numPr>
      <w:ind w:left="1077" w:hanging="357"/>
    </w:pPr>
  </w:style>
  <w:style w:type="paragraph" w:customStyle="1" w:styleId="subclause2Bullet1">
    <w:name w:val="subclause 2 Bullet 1"/>
    <w:basedOn w:val="Parasubclause2"/>
    <w:qFormat/>
    <w:rsid w:val="00A41331"/>
    <w:pPr>
      <w:numPr>
        <w:numId w:val="17"/>
      </w:numPr>
      <w:ind w:left="1434" w:hanging="357"/>
    </w:pPr>
  </w:style>
  <w:style w:type="paragraph" w:customStyle="1" w:styleId="subclause3Bullet1">
    <w:name w:val="subclause 3 Bullet 1"/>
    <w:basedOn w:val="Parasubclause3"/>
    <w:qFormat/>
    <w:rsid w:val="00A41331"/>
    <w:pPr>
      <w:numPr>
        <w:numId w:val="16"/>
      </w:numPr>
      <w:ind w:left="2273" w:hanging="357"/>
    </w:pPr>
  </w:style>
  <w:style w:type="paragraph" w:customStyle="1" w:styleId="subclause1Bullet2">
    <w:name w:val="subclause 1 Bullet 2"/>
    <w:basedOn w:val="Parasubclause1"/>
    <w:qFormat/>
    <w:rsid w:val="00A41331"/>
    <w:pPr>
      <w:numPr>
        <w:numId w:val="18"/>
      </w:numPr>
      <w:ind w:left="1434" w:hanging="357"/>
    </w:pPr>
  </w:style>
  <w:style w:type="paragraph" w:customStyle="1" w:styleId="subclause2Bullet2">
    <w:name w:val="subclause 2 Bullet 2"/>
    <w:basedOn w:val="Parasubclause2"/>
    <w:qFormat/>
    <w:rsid w:val="00A41331"/>
    <w:pPr>
      <w:numPr>
        <w:numId w:val="19"/>
      </w:numPr>
      <w:ind w:left="2273" w:hanging="357"/>
    </w:pPr>
  </w:style>
  <w:style w:type="paragraph" w:customStyle="1" w:styleId="subclause3Bullet2">
    <w:name w:val="subclause 3 Bullet 2"/>
    <w:basedOn w:val="Parasubclause3"/>
    <w:qFormat/>
    <w:rsid w:val="00A41331"/>
    <w:pPr>
      <w:numPr>
        <w:numId w:val="20"/>
      </w:numPr>
      <w:ind w:left="2982" w:hanging="357"/>
    </w:pPr>
  </w:style>
  <w:style w:type="paragraph" w:customStyle="1" w:styleId="DefinedTermBullet">
    <w:name w:val="Defined Term Bullet"/>
    <w:basedOn w:val="DefinedTermPara"/>
    <w:qFormat/>
    <w:rsid w:val="00A41331"/>
    <w:pPr>
      <w:numPr>
        <w:numId w:val="21"/>
      </w:numPr>
    </w:pPr>
  </w:style>
  <w:style w:type="paragraph" w:customStyle="1" w:styleId="AdditionalTitle">
    <w:name w:val="Additional Title"/>
    <w:basedOn w:val="Paragraph"/>
    <w:qFormat/>
    <w:rsid w:val="00A41331"/>
    <w:pPr>
      <w:jc w:val="left"/>
    </w:pPr>
    <w:rPr>
      <w:b/>
      <w:sz w:val="24"/>
    </w:rPr>
  </w:style>
  <w:style w:type="character" w:customStyle="1" w:styleId="error">
    <w:name w:val="error"/>
    <w:basedOn w:val="DefaultParagraphFont"/>
    <w:rsid w:val="00A41331"/>
    <w:rPr>
      <w:color w:val="000000"/>
    </w:rPr>
  </w:style>
  <w:style w:type="paragraph" w:customStyle="1" w:styleId="NoNumUntitledsubclause1">
    <w:name w:val="No Num Untitled subclause 1"/>
    <w:basedOn w:val="Untitledsubclause1"/>
    <w:qFormat/>
    <w:rsid w:val="00A41331"/>
    <w:pPr>
      <w:numPr>
        <w:ilvl w:val="0"/>
        <w:numId w:val="0"/>
      </w:numPr>
      <w:ind w:left="720"/>
    </w:pPr>
  </w:style>
  <w:style w:type="paragraph" w:customStyle="1" w:styleId="BackgroundParaClause">
    <w:name w:val="Background Para Clause"/>
    <w:basedOn w:val="Background"/>
    <w:qFormat/>
    <w:rsid w:val="00A41331"/>
    <w:pPr>
      <w:numPr>
        <w:numId w:val="0"/>
      </w:numPr>
    </w:pPr>
  </w:style>
  <w:style w:type="paragraph" w:customStyle="1" w:styleId="BackgroundParaSubclause1">
    <w:name w:val="Background Para Subclause1"/>
    <w:basedOn w:val="BackgroundSubclause1"/>
    <w:qFormat/>
    <w:rsid w:val="00A41331"/>
    <w:pPr>
      <w:numPr>
        <w:ilvl w:val="0"/>
        <w:numId w:val="0"/>
      </w:numPr>
      <w:ind w:left="994"/>
    </w:pPr>
    <w:rPr>
      <w:lang w:val="en-US"/>
    </w:rPr>
  </w:style>
  <w:style w:type="paragraph" w:customStyle="1" w:styleId="BackgroundParaSubclause2">
    <w:name w:val="Background Para Subclause2"/>
    <w:basedOn w:val="BackgroundSubclause2"/>
    <w:qFormat/>
    <w:rsid w:val="00A41331"/>
    <w:pPr>
      <w:numPr>
        <w:ilvl w:val="0"/>
        <w:numId w:val="0"/>
      </w:numPr>
      <w:ind w:left="1701"/>
    </w:pPr>
    <w:rPr>
      <w:lang w:val="en-US"/>
    </w:rPr>
  </w:style>
  <w:style w:type="paragraph" w:customStyle="1" w:styleId="ClauseBulletPara">
    <w:name w:val="Clause Bullet Para"/>
    <w:basedOn w:val="ClauseBullet1"/>
    <w:qFormat/>
    <w:rsid w:val="00A41331"/>
    <w:pPr>
      <w:numPr>
        <w:numId w:val="0"/>
      </w:numPr>
      <w:ind w:left="1080"/>
    </w:pPr>
    <w:rPr>
      <w:lang w:val="en-US"/>
    </w:rPr>
  </w:style>
  <w:style w:type="paragraph" w:customStyle="1" w:styleId="ClauseBullet2Para">
    <w:name w:val="Clause Bullet 2 Para"/>
    <w:basedOn w:val="ClauseBullet2"/>
    <w:qFormat/>
    <w:rsid w:val="00A41331"/>
    <w:pPr>
      <w:numPr>
        <w:numId w:val="0"/>
      </w:numPr>
      <w:ind w:left="1440"/>
    </w:pPr>
    <w:rPr>
      <w:lang w:val="en-US"/>
    </w:rPr>
  </w:style>
  <w:style w:type="paragraph" w:customStyle="1" w:styleId="ACTJurisdictionCheckList">
    <w:name w:val="ACTJurisdictionCheckList"/>
    <w:basedOn w:val="Normal"/>
    <w:rsid w:val="00A41331"/>
    <w:pPr>
      <w:spacing w:after="120" w:line="300" w:lineRule="atLeast"/>
    </w:pPr>
    <w:rPr>
      <w:rFonts w:eastAsia="Arial Unicode MS"/>
      <w:b/>
      <w:sz w:val="28"/>
    </w:rPr>
  </w:style>
  <w:style w:type="paragraph" w:customStyle="1" w:styleId="JurisdictionDraftingnoteTitle">
    <w:name w:val="Jurisdiction Draftingnote Title"/>
    <w:basedOn w:val="DraftingnoteTitle"/>
    <w:qFormat/>
    <w:rsid w:val="00A41331"/>
  </w:style>
  <w:style w:type="paragraph" w:customStyle="1" w:styleId="EmptyClausePara">
    <w:name w:val="Empty Clause Para"/>
    <w:basedOn w:val="IgnoredSpacing"/>
    <w:qFormat/>
    <w:rsid w:val="00A41331"/>
  </w:style>
  <w:style w:type="paragraph" w:styleId="ListParagraph">
    <w:name w:val="List Paragraph"/>
    <w:basedOn w:val="Normal"/>
    <w:uiPriority w:val="34"/>
    <w:qFormat/>
    <w:rsid w:val="00A41331"/>
    <w:pPr>
      <w:ind w:left="720"/>
      <w:contextualSpacing/>
    </w:pPr>
  </w:style>
  <w:style w:type="paragraph" w:customStyle="1" w:styleId="ScheduleTitlesubclause1">
    <w:name w:val="Schedule Title subclause1"/>
    <w:basedOn w:val="ScheduleUntitledsubclause1"/>
    <w:qFormat/>
    <w:rsid w:val="00A41331"/>
    <w:pPr>
      <w:spacing w:before="120"/>
    </w:pPr>
    <w:rPr>
      <w:b/>
    </w:rPr>
  </w:style>
  <w:style w:type="paragraph" w:customStyle="1" w:styleId="BulletList1Pattern">
    <w:name w:val="Bullet List 1 + Pattern"/>
    <w:basedOn w:val="BulletList1"/>
    <w:qFormat/>
    <w:rsid w:val="00A41331"/>
    <w:pPr>
      <w:shd w:val="clear" w:color="auto" w:fill="D9D9D9" w:themeFill="background1" w:themeFillShade="D9"/>
      <w:spacing w:after="120" w:line="240" w:lineRule="auto"/>
      <w:ind w:left="714" w:hanging="357"/>
    </w:pPr>
  </w:style>
  <w:style w:type="paragraph" w:customStyle="1" w:styleId="BulletList2Pattern">
    <w:name w:val="Bullet List 2 + Pattern"/>
    <w:basedOn w:val="BulletList2"/>
    <w:qFormat/>
    <w:rsid w:val="00A41331"/>
    <w:pPr>
      <w:shd w:val="clear" w:color="auto" w:fill="D9D9D9" w:themeFill="background1" w:themeFillShade="D9"/>
      <w:ind w:left="1077"/>
    </w:pPr>
  </w:style>
  <w:style w:type="paragraph" w:customStyle="1" w:styleId="6D83DCFF8BDF479DB88C9CA683CF81C7">
    <w:name w:val="6D83DCFF8BDF479DB88C9CA683CF81C7"/>
    <w:rsid w:val="00A90941"/>
    <w:pPr>
      <w:spacing w:after="120" w:line="240" w:lineRule="auto"/>
    </w:pPr>
    <w:rPr>
      <w:rFonts w:ascii="Arial" w:eastAsia="Times New Roman" w:hAnsi="Arial" w:cs="Times New Roman"/>
      <w:color w:val="000000"/>
      <w:sz w:val="24"/>
      <w:szCs w:val="24"/>
      <w:lang w:val="en-US" w:eastAsia="en-US"/>
    </w:rPr>
  </w:style>
  <w:style w:type="paragraph" w:styleId="CommentText">
    <w:name w:val="annotation text"/>
    <w:basedOn w:val="Normal"/>
    <w:link w:val="CommentTextChar"/>
    <w:uiPriority w:val="99"/>
    <w:unhideWhenUsed/>
    <w:rsid w:val="00C822C6"/>
    <w:pPr>
      <w:spacing w:line="240" w:lineRule="auto"/>
    </w:pPr>
    <w:rPr>
      <w:sz w:val="20"/>
      <w:szCs w:val="20"/>
    </w:rPr>
  </w:style>
  <w:style w:type="character" w:customStyle="1" w:styleId="CommentTextChar">
    <w:name w:val="Comment Text Char"/>
    <w:basedOn w:val="DefaultParagraphFont"/>
    <w:link w:val="CommentText"/>
    <w:uiPriority w:val="99"/>
    <w:rsid w:val="00C822C6"/>
    <w:rPr>
      <w:color w:val="000000"/>
      <w:sz w:val="20"/>
      <w:szCs w:val="20"/>
    </w:rPr>
  </w:style>
  <w:style w:type="character" w:styleId="CommentReference">
    <w:name w:val="annotation reference"/>
    <w:basedOn w:val="DefaultParagraphFont"/>
    <w:uiPriority w:val="99"/>
    <w:semiHidden/>
    <w:unhideWhenUsed/>
    <w:rsid w:val="00C822C6"/>
    <w:rPr>
      <w:color w:val="000000"/>
      <w:sz w:val="16"/>
      <w:szCs w:val="16"/>
    </w:rPr>
  </w:style>
  <w:style w:type="table" w:customStyle="1" w:styleId="TableGrid1">
    <w:name w:val="Table Grid1"/>
    <w:basedOn w:val="TableNormal"/>
    <w:next w:val="TableGrid"/>
    <w:rsid w:val="000035C6"/>
    <w:pPr>
      <w:spacing w:after="0" w:line="240" w:lineRule="auto"/>
    </w:pPr>
    <w:rPr>
      <w:rFonts w:ascii="Calibri" w:eastAsia="Times New Roman" w:hAnsi="Calibri"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8F11F7"/>
    <w:rPr>
      <w:color w:val="000000"/>
      <w:shd w:val="clear" w:color="auto" w:fill="E6E6E6"/>
    </w:rPr>
  </w:style>
  <w:style w:type="paragraph" w:styleId="CommentSubject">
    <w:name w:val="annotation subject"/>
    <w:basedOn w:val="CommentText"/>
    <w:next w:val="CommentText"/>
    <w:link w:val="CommentSubjectChar"/>
    <w:uiPriority w:val="99"/>
    <w:semiHidden/>
    <w:unhideWhenUsed/>
    <w:rsid w:val="00DB298B"/>
    <w:rPr>
      <w:b/>
      <w:bCs/>
    </w:rPr>
  </w:style>
  <w:style w:type="character" w:customStyle="1" w:styleId="CommentSubjectChar">
    <w:name w:val="Comment Subject Char"/>
    <w:basedOn w:val="CommentTextChar"/>
    <w:link w:val="CommentSubject"/>
    <w:uiPriority w:val="99"/>
    <w:semiHidden/>
    <w:rsid w:val="00DB298B"/>
    <w:rPr>
      <w:b/>
      <w:bCs/>
      <w:color w:val="000000"/>
      <w:sz w:val="20"/>
      <w:szCs w:val="20"/>
    </w:rPr>
  </w:style>
  <w:style w:type="character" w:customStyle="1" w:styleId="UnresolvedMention2">
    <w:name w:val="Unresolved Mention2"/>
    <w:basedOn w:val="DefaultParagraphFont"/>
    <w:uiPriority w:val="99"/>
    <w:semiHidden/>
    <w:unhideWhenUsed/>
    <w:rsid w:val="00F45470"/>
    <w:rPr>
      <w:color w:val="000000"/>
      <w:shd w:val="clear" w:color="auto" w:fill="E6E6E6"/>
    </w:rPr>
  </w:style>
  <w:style w:type="paragraph" w:styleId="Revision">
    <w:name w:val="Revision"/>
    <w:hidden/>
    <w:uiPriority w:val="99"/>
    <w:semiHidden/>
    <w:rsid w:val="007B444C"/>
    <w:pPr>
      <w:spacing w:after="0" w:line="240" w:lineRule="auto"/>
    </w:pPr>
    <w:rPr>
      <w:color w:val="000000"/>
    </w:rPr>
  </w:style>
  <w:style w:type="paragraph" w:customStyle="1" w:styleId="SectorSpecificNoteTitle">
    <w:name w:val="Sector Specific Note Title"/>
    <w:basedOn w:val="JurisdictionDraftingnoteTitle"/>
    <w:qFormat/>
    <w:rsid w:val="00A41331"/>
  </w:style>
  <w:style w:type="table" w:customStyle="1" w:styleId="ShadedTable1">
    <w:name w:val="Shaded Table1"/>
    <w:basedOn w:val="TableNormal"/>
    <w:uiPriority w:val="99"/>
    <w:rsid w:val="00A41331"/>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IgnoredEmptysubclause">
    <w:name w:val="Ignored Empty subclause"/>
    <w:basedOn w:val="Normal"/>
    <w:link w:val="IgnoredEmptysubclauseChar"/>
    <w:qFormat/>
    <w:rsid w:val="00A41331"/>
  </w:style>
  <w:style w:type="character" w:customStyle="1" w:styleId="IgnoredEmptysubclauseChar">
    <w:name w:val="Ignored Empty subclause Char"/>
    <w:basedOn w:val="DefaultParagraphFont"/>
    <w:link w:val="IgnoredEmptysubclause"/>
    <w:rsid w:val="00A41331"/>
    <w:rPr>
      <w:color w:val="000000"/>
    </w:rPr>
  </w:style>
  <w:style w:type="paragraph" w:customStyle="1" w:styleId="FE9FEA9CC0E94E0FA5EFE209CA58453E">
    <w:name w:val="FE9FEA9CC0E94E0FA5EFE209CA58453E"/>
    <w:rsid w:val="005D3965"/>
    <w:pPr>
      <w:spacing w:after="160" w:line="259" w:lineRule="auto"/>
    </w:pPr>
    <w:rPr>
      <w:color w:val="000000"/>
      <w:lang w:val="en-US" w:eastAsia="en-US"/>
    </w:rPr>
  </w:style>
  <w:style w:type="numbering" w:customStyle="1" w:styleId="ScheduleListStyle">
    <w:name w:val="ScheduleListStyle"/>
    <w:pPr>
      <w:numPr>
        <w:numId w:val="33"/>
      </w:numPr>
    </w:pPr>
  </w:style>
  <w:style w:type="paragraph" w:styleId="TOC1">
    <w:name w:val="toc 1"/>
    <w:basedOn w:val="Normal"/>
    <w:next w:val="Normal"/>
    <w:autoRedefine/>
    <w:rsid w:val="00805BCE"/>
    <w:pPr>
      <w:spacing w:after="100" w:line="240" w:lineRule="auto"/>
    </w:pPr>
  </w:style>
  <w:style w:type="character" w:styleId="Strong">
    <w:name w:val="Strong"/>
    <w:basedOn w:val="DefaultParagraphFont"/>
    <w:uiPriority w:val="22"/>
    <w:qFormat/>
    <w:rsid w:val="008C2214"/>
    <w:rPr>
      <w:b/>
      <w:bCs/>
    </w:rPr>
  </w:style>
  <w:style w:type="character" w:styleId="UnresolvedMention">
    <w:name w:val="Unresolved Mention"/>
    <w:basedOn w:val="DefaultParagraphFont"/>
    <w:uiPriority w:val="99"/>
    <w:rsid w:val="002515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162862">
      <w:bodyDiv w:val="1"/>
      <w:marLeft w:val="0"/>
      <w:marRight w:val="0"/>
      <w:marTop w:val="0"/>
      <w:marBottom w:val="0"/>
      <w:divBdr>
        <w:top w:val="none" w:sz="0" w:space="0" w:color="auto"/>
        <w:left w:val="none" w:sz="0" w:space="0" w:color="auto"/>
        <w:bottom w:val="none" w:sz="0" w:space="0" w:color="auto"/>
        <w:right w:val="none" w:sz="0" w:space="0" w:color="auto"/>
      </w:divBdr>
    </w:div>
    <w:div w:id="470943218">
      <w:bodyDiv w:val="1"/>
      <w:marLeft w:val="0"/>
      <w:marRight w:val="0"/>
      <w:marTop w:val="0"/>
      <w:marBottom w:val="0"/>
      <w:divBdr>
        <w:top w:val="none" w:sz="0" w:space="0" w:color="auto"/>
        <w:left w:val="none" w:sz="0" w:space="0" w:color="auto"/>
        <w:bottom w:val="none" w:sz="0" w:space="0" w:color="auto"/>
        <w:right w:val="none" w:sz="0" w:space="0" w:color="auto"/>
      </w:divBdr>
    </w:div>
    <w:div w:id="91143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wrexham.ac.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ns30:Sourc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cdm:cachedDataManifest xmlns:cdm="http://schemas.microsoft.com/2004/VisualStudio/Tools/Applications/CachedDataManifest.xsd" cdm:revision="1"/>
</file>

<file path=customXml/item3.xml><?xml version="1.0" encoding="utf-8"?>
<n-document xmlns:xsd="http://www.w3.org/2001/XMLSchema" xmlns:xsi="http://www.w3.org/2001/XMLSchema-instance" guid="0" synced="true" validated="true">
  <n-docbody>
    <standard.doc precedenttype="agreement">
      <prelim>
        <product.name>product.name0</product.name>
        <title>Data sharing agreement (controller to controller) (UK)</title>
        <author>
          <ital>Practical Law Data Protection </ital>
        </author>
        <resource.type>Standard documents</resource.type>
        <juris>juris0</juris>
        <juris>juris1</juris>
      </prelim>
      <abstract>
        <para>
          <paratext>
            A specimen data sharing agreement drafted from the perspective of the discloser, for use where a UK private sector controller subject to the retained EU law version of the General Data Protection Regulation (
            <ital>(EU) 2016/679</ital>
            ) (UK GDPR) discloses personal data on a systematic and routine basis to another private sector controller that is based within the UK or the European Economic Area. The agreement can also be adapted for a UK organisation subject to the General Data Protection Regulation (
            <ital>(EU) 2016/679</ital>
            ) (EU GDPR).
          </paratext>
        </para>
      </abstract>
      <toc.identifier hasToc="true"/>
      <body>
        <drafting.note id="a246469" jurisdiction="">
          <head align="left" preservecase="true">
            <headtext>About this document</headtext>
          </head>
          <division id="a000015" level="1">
            <para>
              <paratext>
                The UK data protection regime comprises the 
                <ital> </ital>
                <link href="https://uk.westlaw.com/Document/I5001D540149911E9AF43FBE4B595A7D5/View/FullText.html?transitionType=Default&amp;amp;contextData=(sc.Default)&amp;amp;firstPage=true" style="ACTLinkURL">
                  <ital>UK GDPR</ital>
                </link>
                 (that is, the 
                <link href="w-019-6282" style="ACTLinkPLCtoPLC">
                  <ital>retained EU law </ital>
                </link>
                 version of the 
                <link href="https://uk.practicallaw.thomsonreuters.com/Document/I9A81A6A1BF2A4D23A154B720430C4E36/View/FullText.html?transitionType=Default&amp;amp;contextData=(sc.Default)" style="ACTLinkURL">
                  <ital>General Data Protection Regulation ((EU) 2016/679)</ital>
                </link>
                 (
                <link href="w-026-8528" style="ACTLinkPLCtoPLC">
                  <ital>UK GDPR</ital>
                </link>
                )), along with the 
                <link href="w-014-9417" style="ACTLinkPLCtoPLC">
                  <ital>Data Protection Act 2018</ital>
                </link>
                 (DPA 2018) and the 
                <link href="1-507-2637" style="ACTLinkPLCtoPLC">
                  <ital>Privacy and Electronic Communications (EC Directive) Regulations 2003 (SI 2003/2426) </ital>
                </link>
                  (PECR).
              </paratext>
            </para>
            <para>
              <paratext>
                This resource reflects current UK data protection legislation, but it will be affected by the government's proposals for legislative reform of the UK data protection regime when enacted. See the 
                <link href="w-010-6097" style="ACTLinkPLCtoPLC">
                  <ital>UK data protection legislation tracker</ital>
                </link>
                 for details.
              </paratext>
            </para>
            <para>
              <paratext>
                As the 
                <link href="w-026-8527" style="ACTLinkPLCtoPLC">
                  <ital>EU GDPR</ital>
                </link>
                  has extraterritorial effect (see Article 3, EU GDPR), the EU GDPR may also apply to UK 
                <link href="5-107-5723" style="ACTLinkPLCtoPLC">
                  <ital>controllers</ital>
                </link>
                 or
                <ital> </ital>
                <link href="2-384-8947" style="ACTLinkPLCtoPLC">
                  <ital>processors</ital>
                </link>
                 who have an establishment in the EU, or who offer goods or services to data subjects in the EU, or who monitor their behaviour as far as their behaviour takes place within the EU. Such organisations may therefore find themselves subject to dual data protection regulatory regimes under the UK GDPR and the EU GDPR. For more information, see 
                <link href="w-035-9188" style="ACTLinkPLCtoPLC">
                  <ital>Practice note, Processing personal data: applicability of EU GDPR and UK GDPR</ital>
                </link>
                .  See 
                <internal.reference refid="a242247">Drafting note, EU GDPR applicability</internal.reference>
                .
              </paratext>
            </para>
            <para>
              <paratext>For the purposes of this standard document, we have assumed that we are dealing with an organisation based in the UK which does not provide goods or services to EU data subjects or monitor their behaviour. For that reason, we refer only to compliance with the DPA 2018 and the UK GDPR (as well as PECR where relevant).</paratext>
            </para>
          </division>
          <division id="a133460" level="1">
            <head align="left" preservecase="true">
              <headtext>General document notes</headtext>
            </head>
            <para>
              <paratext>In this data sharing agreement (Agreement) one controller discloses personal data to another controller (or controllers).</paratext>
            </para>
            <para>
              <paratext>
                This document is a free-standing document that does not incorporate commercial business terms (such as charges, database rights, cross-border tax issues, intellectual property rights and confidentiality) that may be established by the parties under separate commercial arrangements. Where separate commercial arrangements exist, the parties may also prefer to include the indemnity and limitation of liability clauses in their commercial agreement (see 
                <internal.reference refid="a296088">clause 16</internal.reference>
                 and 
                <internal.reference refid="a549750">clause 18</internal.reference>
                ). For examples, see Practice notes:
              </paratext>
            </para>
            <para>
              <paratext>
                <link href="9-107-3656" style="ACTLinkPLCtoPLC">
                  <ital>Boilerplate agreement</ital>
                </link>
                .
              </paratext>
            </para>
            <para>
              <paratext>
                <link href="w-018-4791" style="ACTLinkPLCtoPLC">
                  <ital>Boilerplate agreement: short form</ital>
                </link>
                .
              </paratext>
            </para>
            <para>
              <paratext>
                <link href="w-014-1583" style="ACTLinkPLCtoPLC">
                  <ital>Boilerplate: do I really need this clause and why?</ital>
                </link>
                .
              </paratext>
            </para>
            <para>
              <paratext>Although this standard document is drafted from the perspective of the party disclosing the personal data, it nevertheless adopts a reasonably balanced approach to the relevant issues on the basis that an agreement that is drafted too much in favour of either party serves only to increase the time and cost of negotiations.</paratext>
            </para>
            <division id="a242247" level="2">
              <head align="left" preservecase="true">
                <headtext>EU GDPR applicability</headtext>
              </head>
              <para>
                <paratext>
                  As the 
                  <link href="6-631-1875" style="ACTLinkPLCtoPLC">
                    <ital>EU GDPR</ital>
                  </link>
                   continues to have extraterritorial effect (see 
                  <ital>Article 3, EU GDPR</ital>
                  ), the parties may therefore wish to do some due diligence as to whether other data protection legislation, in particular the EU GDPR, may apply, in particular where a party also has an establishment in the EU, is offering goods or services to EU data subjects or monitoring their behaviour within the EU or where the personal data was previously processed under the EU GDPR prior to Brexit, relates to EU data subjects and is classed as legacy data (until such time as the UK achieves an adequacy finding) (see 
                  <link anchor="a262573" href="w-026-2740" style="ACTLinkPLCtoPLC">
                    <ital>Practice note, Brexit post-transition period: data protection (UK): Data processed or obtained before end of the transition period)</ital>
                  </link>
                  .
                </paratext>
              </para>
              <para>
                <paratext>
                  These clauses can then be amended accordingly where noted, for example the definition of Data Protection Legislation can be extended to include the EU GDPR or any other applicable data protection legislation, see 
                  <internal.reference refid="a931977">Drafting note, Data Protection Legislation</internal.reference>
                  . This Agreement, if adapted, can also be used by a UK controller entering into an agreement with an EU controller subject to the EU GDPR. For more information, see 
                  <link anchor="a645904" href="w-026-2740" style="ACTLinkPLCtoPLC">
                    <ital>Practice notes, Brexit post-transition period: data protection (UK): Determining which regimes apply</ital>
                  </link>
                   and
                  <ital> </ital>
                  <link href="w-003-8899" style="ACTLinkPLCtoPLC">
                    <ital>Determining the Applicability of the GDPR</ital>
                  </link>
                  .
                </paratext>
              </para>
            </division>
          </division>
          <division id="a557230" level="1">
            <head align="left" preservecase="true">
              <headtext>Assumptions</headtext>
            </head>
            <para>
              <paratext>It is assumed for the purposes of this standard document that:</paratext>
            </para>
            <list type="bulleted">
              <list.item>
                <para>
                  <paratext>
                    The parties are all independent controllers and not joint controllers. The Agreement has not been drafted to meet the requirement for an "arrangement" to be in place between joint controllers (see 
                    <ital>Article 26 and Recital 79, </ital>
                    <link href="w-027-1020" style="ACTLinkPLCtoPLC">
                      <ital>UK GDPR</ital>
                    </link>
                    ) (see 
                    <link anchor="a766644" href="w-013-3757" style="ACTLinkPLCtoPLC">
                      <ital>Practice note, Overview of UK GDPR: Joint controllers</ital>
                    </link>
                    ).
                  </paratext>
                </para>
              </list.item>
              <list.item>
                <para>
                  <paratext>
                    The data discloser and data receiver are established in the United Kingdom for data protection purposes, process the personal data within the UK and do not collect personal data from individuals in the EU by either (a) offering them goods or services; or (b) monitoring the behaviour of such individuals in so far as such behaviour takes place within the EU (see 
                    <link anchor="a164136" href="w-013-3757" style="ACTLinkPLCtoPLC">
                      <ital>Practice notes, Overview of UK GDPR: application of the GDPR</ital>
                    </link>
                    . and 
                    <link href="w-026-2740" style="ACTLinkPLCtoPLC">
                      <ital>Brexit post-transition period: data protection (UK)</ital>
                    </link>
                    ). However, the Agreement can be adapted for a UK organisation also subject to the 
                    <link href="6-631-1875" style="ACTLinkPLCtoPLC">
                      <ital>EU GDPR</ital>
                    </link>
                     and can also be used by a UK controller entering into an agreement with an EU controller subject to the EU GDPR see 
                    <internal.reference refid="a242247">Drafting note, EU GDPR applicability</internal.reference>
                    . (See 
                    <link anchor="a164136" href="w-013-3757" style="ACTLinkPLCtoPLC">
                      <ital>Practice notes, Overview of UK GDPR: Application of the GDPR</ital>
                    </link>
                    <ital>,</ital>
                    <link href="w-026-2740" style="ACTLinkPLCtoPLC">
                      <ital>Brexit post-transition period: data protection (UK)</ital>
                    </link>
                     and 
                    <link href="w-003-8899" style="ACTLinkPLCtoPLC">
                      <ital>Determining the applicabilty of the GDPR</ital>
                    </link>
                    ).
                  </paratext>
                </para>
              </list.item>
              <list.item>
                <para>
                  <paratext>Each party is separately responsible for its own data processing activities and for informing data subjects of the processing purposes in respect of all personal data which they hold.</paratext>
                </para>
              </list.item>
              <list.item>
                <para>
                  <paratext>
                    The data sharing takes place between private sector entities. (The public, private and third sectors all adopt different approaches to data sharing, for a public sector version, see 
                    <link href="w-023-1649" style="ACTLinkPLCtoPLC">
                      <ital>Standard document, Data sharing agreement (controller to controller) (public sector) (GDPR and DPA 2018) (UK)</ital>
                    </link>
                    .)
                  </paratext>
                </para>
              </list.item>
              <list.item>
                <para>
                  <paratext>The data sharing is systematic and routine. The Agreement is not applicable to one-off decisions about data sharing.</paratext>
                </para>
              </list.item>
              <list.item>
                <para>
                  <paratext>
                    The processing of the personal data under this Agreement does not require any approval from, for example, a financial services regulator nor is it subject to any ongoing regulatory compliance regime (other than the Information Commissioner or any data protection compliance regime). The parties should clarify with one another whether such approval from a local supervisory authority is required (see 
                    <link href="http://uk.practicallaw.com/resources/global-guides/dataprotection-guide" style="ACTLinkURL">
                      <ital>Global Guide: Data protection</ital>
                    </link>
                    ).
                  </paratext>
                </para>
              </list.item>
              <list.item>
                <para>
                  <paratext>This Agreement is subject to English law and the jurisdiction of the English courts.</paratext>
                </para>
              </list.item>
            </list>
            <para>
              <paratext>
                References to Articles and to Recitals in this document are references to Articles and Recitals of the UK GDPR. However, unless otherwise indicated, the same requirements and Article numbers apply for the EU GDPR. For more information on changes from the EU GDPR to the UK GDPR, see 
                <link href="w-027-8212" style="ACTLinkPLCtoPLC">
                  <ital>Brexit post-transition period: changes to data protection references: checklist (UK)</ital>
                </link>
                .
              </paratext>
            </para>
          </division>
          <division id="a350244" level="1">
            <head align="left" preservecase="true">
              <headtext>Legal issues</headtext>
            </head>
            <para>
              <paratext>
                The Agreement is based on the 
                <link href="w-027-1020" style="ACTLinkPLCtoPLC">
                  <ital>UK GDPR</ital>
                </link>
                 and the 
                <link href="w-014-9417" style="ACTLinkPLCtoPLC">
                  <ital>DPA 2018</ital>
                </link>
                .  The relevant provisions of the DPA 2018 for this Agreement are 
                <link href="https://uk.practicallaw.thomsonreuters.com/w-016-9316?originationContext=document&amp;amp;transitionType=PLDocumentLink&amp;amp;contextData=(sc.Default)" style="ACTLinkURL">
                  <ital>Parts 1 and 2</ital>
                </link>
                 and 
                <link href="https://uk.practicallaw.thomsonreuters.com/w-016-9319?originationContext=document&amp;amp;transitionType=PLDocumentLink&amp;amp;contextData=(sc.Default)" style="ACTLinkURL">
                  <ital>5 to 7</ital>
                </link>
                 and 
                <link href="https://uk.practicallaw.thomsonreuters.com/w-016-9306?originationContext=document&amp;amp;transitionType=PLDocumentLink&amp;amp;contextData=(sc.Default)" style="ACTLinkURL">
                  <ital>Schedules 1 to 7</ital>
                </link>
                 and 
                <link href="https://uk.practicallaw.thomsonreuters.com/w-016-9311?originationContext=document&amp;amp;transitionType=PLDocumentLink&amp;amp;contextData=(sc.Default)" style="ACTLinkURL">
                  <ital>12 to 20</ital>
                </link>
                . (see 
                <link anchor="a728288" href="w-013-3757" style="ACTLinkPLCtoPLC">
                  <ital>Practice note, Overview of UK GDPR: Structure of the DPA 2018</ital>
                </link>
                ).
              </paratext>
            </para>
            <para>
              <paratext>In any negotiations the parties should consider whether they want to add a contractual liability for any failure to comply or whether the statutory sanctions are sufficient. This is a commercial decision about the level of comfort each party requires. One of the main considerations will be limiting any reputational risk that might arise from the other party's non-compliance with its own national data protection laws.</paratext>
            </para>
            <para>
              <paratext>The following resources will be of assistance:</paratext>
            </para>
            <list type="bulleted">
              <list.item>
                <para>
                  <paratext>
                    <link href="w-013-3757" style="ACTLinkPLCtoPLC">
                      <ital>Practice note, Overview of UK GDPR</ital>
                    </link>
                    .
                  </paratext>
                </para>
              </list.item>
              <list.item>
                <para>
                  <paratext>
                    <link href="w-014-5998" style="ACTLinkPLCtoPLC">
                      <ital>Practice note, Overview of Data Protection Act 2018</ital>
                    </link>
                    <ital>.</ital>
                  </paratext>
                </para>
              </list.item>
              <list.item>
                <para>
                  <paratext>
                    <link href="w-014-6104" style="ACTLinkPLCtoPLC">
                      <ital>Practice note, UK GDPR and DPA 2018: exemptions</ital>
                    </link>
                    <ital>.</ital>
                  </paratext>
                </para>
              </list.item>
              <list.item>
                <para>
                  <paratext>
                    <link href="https://ico.org.uk/for-organisations/uk-gdpr-guidance-and-resources/accountability-and-governance/contracts-and-liabilities-between-controllers-and-processors-multi/" style="ACTLinkURL">
                      <ital>ICO detailed guidance on contracts and liabilities between controllers and processors</ital>
                    </link>
                    <ital> (see </ital>
                    <link href="w-018-1706" style="ACTLinkPLCtoPLC">
                      <ital>Legal update, ICO publishes detailed guidance on contracts and liabilities under the GDPR</ital>
                    </link>
                    ).
                  </paratext>
                </para>
              </list.item>
              <list.item>
                <para>
                  <paratext>
                    <link href="http://uk.practicallaw.com/resources/global-guides/dataprotection-guide" style="ACTLinkURL">
                      <ital>Data Protection Global Guides</ital>
                    </link>
                    .
                  </paratext>
                </para>
              </list.item>
            </list>
          </division>
          <division id="a123585" level="1">
            <head align="left" preservecase="true">
              <headtext>Information Commissioner's data sharing code of practice</headtext>
            </head>
            <para>
              <paratext>
                The 
                <link href="3-107-6262" style="ACTLinkPLCtoPLC">
                  <ital>Information Commissioner's Office</ital>
                </link>
                 (ICO) statutory 
                <link href="https://ico.org.uk/media/for-organisations/guide-to-data-protection/ico-codes-of-practice/data-sharing-a-code-of-practice-1-0.pdf" style="ACTLinkURL">
                  <ital>data sharing code of practice</ital>
                </link>
                 (data sharing code 2021) made under 
                <link href="w-015-0414" style="ACTLinkPLCtoPLC">
                  <ital>section 121</ital>
                </link>
                 of the DPA 2018 came into force on 5 October 2021, replacing the previous code made under the Data Protection Act 1998 (DPA 1998). The data sharing code 2021 addresses requirements under the 
                <link href="w-027-1020" style="ACTLinkPLCtoPLC">
                  <ital>UK GDPR</ital>
                </link>
                 and 
                <link href="w-014-9417" style="ACTLinkPLCtoPLC">
                  <ital>DPA 2018</ital>
                </link>
                 associated with data sharing, including transparency, the lawful basis for processing, the accountability principle and the need to document processing requirements (see 
                <link href="w-028-8891" style="ACTLinkPLCtoPLC">
                  <ital>Legal update, ICO publishes data sharing code of practice</ital>
                </link>
                ). The ICO explains that this is a code covering the sharing of personal data between organisations which are controllers (see 
                <link href="w-032-8974" style="ACTLinkPLCtoPLC">
                  <ital>Legal update, ICO data sharing code of practice under DPA 2018 in force</ital>
                </link>
                ).
              </paratext>
            </para>
          </division>
          <division id="a715825" level="1">
            <head align="left" preservecase="true">
              <headtext>Status of EDPB guidelines</headtext>
            </head>
            <para>
              <paratext>
                The 
                <link href="_blank" style="ACTLinkPLCtoPLC">
                  <ital>European Data Protection Board</ital>
                </link>
                 (EDPB) (formerly, the 
                <link href="1-508-0312" style="ACTLinkPLCtoPLC">
                  <ital>Article 29 Working Party </ital>
                </link>
                 (WP29)) has adopted numerous guidelines on the EU GDPR and has endorsed some of the WP29's guidelines. The ICO has stated that although EDPB guidelines are no longer directly relevant or binding under the UK regime, they may still provide helpful guidance on certain issues and will, of course, still be relevant in an EU context (
                <ital>ICO: Guide to the UK GDPR</ital>
                ) (and would continue to be relevant to the Frozen GDPR if applicable, see 
                <link anchor="co_anchor_a154894" href="https://uk.practicallaw.thomsonreuters.com/w-013-3757?originationContext=document&amp;amp;transitionType=DocumentItem&amp;amp;contextData=(sc.Default)&amp;amp;ppcid=aeab5a21dabf442288d63ded97a56c7b" style="ACTLinkURL">
                  <ital>Practice note, Overview of UK GDPR: Frozen GDPR and legacy data</ital>
                </link>
                ). Therefore, we have included reference to relevant WP29 and EDPB guidelines in the drafting notes.
              </paratext>
            </para>
          </division>
          <division id="a855988" level="1">
            <head align="left" preservecase="true">
              <headtext>Assessing the nature of the relationship between the parties</headtext>
            </head>
            <para>
              <paratext>
                Personal data can lawfully be disclosed, if controllers comply with the 
                <link href="w-027-1020" style="ACTLinkPLCtoPLC">
                  <ital>UK GDPR</ital>
                </link>
                .
              </paratext>
            </para>
            <para>
              <paratext>Data sharing can take a number of different forms but as the legal responsibility for complying with the UK GDPR falls primarily on controllers, one of the most important steps in any data sharing arrangement is to first establish the nature of the relationship between the parties who share the personal data. If they are independent controllers (rather than joint controllers) with one party disclosing personal data to the other, then this is the type of data sharing agreement that they should use and execute between them.</paratext>
            </para>
            <para>
              <paratext>
                However, if one of the parties processes personal data on behalf of the controller then they are in a controller and processor relationship and they should enter into a data processing agreement (see 
                <internal.reference refid="a513514">Drafting note, Processors</internal.reference>
                 below).
              </paratext>
            </para>
            <para>
              <paratext>
                A controller means "the natural or legal person, public authority, agency or other body which alone or jointly with others, determines the purposes and means of the processing of personal data" (
                <ital>Article 4(7), UK GDPR</ital>
                ).
              </paratext>
            </para>
            <para>
              <paratext>
                The determination of the purposes for which, and how, any personal data is (or is to be) processed does not need to be exclusive to one controller. The term "jointly" is used where two or more controllers jointly determine the purposes and means of the processing. In a transparent manner, they must determine their respective responsibilities for compliance with their obligations under the UK GDPR. This is particularly important in relation to the exercising of the rights of the data subject and their respective duties to provide the information referred to in Articles 13 and 14, by means of an "arrangement" (not necessarily, but usually by way of an agreement) between them unless the respective responsibilities of the controllers are determined by domestic law (see 
                <ital>Article 26(1), UK GDPR</ital>
                ). Personal data processed in this manner will, irrespective of the terms of the arrangement, give data subjects directly enforceable rights against each controller and controllers may designate a contact point for them (
                <ital>Article 26(1) and (3), UK GDPR</ital>
                ). There may be multiple controllers in respect of the same personal data. For further information see 
                <link anchor="a766644" href="w-013-3757" style="ACTLinkPLCtoPLC">
                  <ital>Practice note, Overview of UK GDPR: Joint controllers</ital>
                </link>
                .
              </paratext>
            </para>
            <para>
              <paratext>Before entering into a data sharing agreement, it is therefore very important to ascertain how the parties are sharing the personal data and enter into an agreement that is appropriate to that scenario.</paratext>
            </para>
            <para>
              <paratext>
                Although the UK GDPR does not expressly state that a written agreement is necessary between controllers, they should always negotiate a well-defined agreement. This is particularly the case where the data sharing is systematic, large-scale or risky (and a 
                <link href="w-014-8176" style="ACTLinkPLCtoPLC">
                  <ital>data protection impact assessment</ital>
                </link>
                 may assist in determining this).
              </paratext>
            </para>
          </division>
          <division id="a513514" level="1">
            <head align="left" preservecase="true">
              <headtext>Processors</headtext>
            </head>
            <para>
              <paratext>
                Where a processor processes personal data on behalf of the controller and acts on the instructions of the controller (
                <ital>Article 28(3), </ital>
                <link href="w-027-1020" style="ACTLinkPLCtoPLC">
                  <ital>UK GDPR</ital>
                </link>
                ), the UK GDPR expressly requires an agreement to be in place between the controller and the processor and certain technical and security requirements to be complied with (
                <ital>Article 28, UK GDPR</ital>
                ). It is, therefore, extremely important that where all parties to a data sharing arrangement are controllers, one is not instructing another, who then processes data on their instructions, otherwise, they will be in a controller and processor relationship. For further information see 
                <link href="w-025-2861" style="ACTLinkPLCtoPLC">
                  <ital>Practice note, Processor obligations under UK GDPR</ital>
                </link>
                 and 
                <link href="w-027-8411" style="ACTLinkPLCtoPLC">
                  <ital>Standard clauses, Data processing clauses (UK)</ital>
                </link>
                .
              </paratext>
            </para>
            <para>
              <paratext>
                For further information see 
                <link href="w-019-8440" style="ACTLinkPLCtoPLC">
                  <ital>Checklist, Controller or processor? (UK) </ital>
                </link>
                . The ICO has also published guidance on distinguishing between controllers and processors under the UK GDPR (see 
                <link href="https://ico.org.uk/for-organisations/uk-gdpr-guidance-and-resources/controllers-and-processors/controllers-and-processors/" style="ACTLinkURL">
                  <ital>ICO: Detailed guidance on controllers and processors</ital>
                </link>
                 and 
                <link href="w-018-2028" style="ACTLinkPLCtoPLC">
                  <ital>Legal update, ICO publishes detailed guidance on controllers and processors</ital>
                </link>
                ). On 7 July 2021, the EDPB adopted 
                <link href="_blank" style="ACTLinkPLCtoPLC">
                  <ital>Guidelines 07/2020 on the concepts of controller and processor in the GDPR</ital>
                </link>
                 (see 
                <internal.reference refid="a715825">Drafting note, Status of EDPB guidelines</internal.reference>
                ). A designation of a party as a controller or a processor will always primarily be a matter of fact based on what the different parties are doing and is not primarily determined by what is stated in a contract.
              </paratext>
            </para>
            <para>
              <paratext>
                The ICO has published guidance on contracts and liabilities between controllers and processors (see 
                <link href="https://ico.org.uk/for-organisations/uk-gdpr-guidance-and-resources/accountability-and-governance/contracts-and-liabilities-between-controllers-and-processors-multi/" style="ACTLinkURL">
                  <ital>ICO: Contracts and liabilities between controllers and processors</ital>
                </link>
                ).
              </paratext>
            </para>
            <para>
              <paratext>
                See also, 
                <internal.reference refid="a778359">Drafting note, Transfers to a processor</internal.reference>
                .
              </paratext>
            </para>
          </division>
          <division id="a619716" level="1">
            <head align="left" preservecase="true">
              <headtext>Complying with the UK GDPR and other national data protection laws</headtext>
            </head>
            <para>
              <paratext>
                With regard to their own processing activities, UK controllers must comply with the six data protection principles in Article 5(1) of the 
                <link href="w-027-1020" style="ACTLinkPLCtoPLC">
                  <ital>UK GDPR</ital>
                </link>
                 and an accountability principle in Article 5(2) requiring them to comply with those six principles. "Processing" includes the disclosure of personal data to third parties. Controllers located in the EU  will usually be subject to similar requirements under the 
                <link href="6-631-1875" style="ACTLinkPLCtoPLC">
                  <ital>EU GDPR</ital>
                </link>
                 and their own national laws, see 
                <internal.reference refid="a242247">Drafting note, EU GDPR applicability</internal.reference>
                .
              </paratext>
            </para>
            <para>
              <paratext>
                As this Agreement is drafted from the perspective of a UK data discloser, it is primarily designed to ensure that discloser's compliance with the UK GDPR and 
                <link href="w-014-9417" style="ACTLinkPLCtoPLC">
                  <ital>DPA 2018</ital>
                </link>
                . The data receiver will be responsible for compliance with the UK GDPR (or the EU GDPR as applicable) and national data protection laws that apply to its own processing activities. For further information see 
                <link anchor="a550659" href="w-013-3757" style="ACTLinkPLCtoPLC">
                  <ital>Practice note, Overview of UK GDPR: Data protection principles</ital>
                </link>
                .
              </paratext>
            </para>
            <para>
              <paratext>When drafting the Agreement, consideration should therefore also be given to:</paratext>
            </para>
            <list type="bulleted">
              <list.item>
                <para>
                  <paratext>
                    EU GDPR and national data protection laws and guidance as applicable to the parties involved (see 
                    <link href="http://uk.practicallaw.com/resources/global-guides/dataprotection-guide" style="ACTLinkURL">
                      <ital>Data Protection Global Guide</ital>
                    </link>
                    ).
                  </paratext>
                </para>
              </list.item>
              <list.item>
                <para>
                  <paratext>Any industry specific regulations and guidance that may apply to the parties involved.</paratext>
                </para>
              </list.item>
            </list>
            <para>
              <paratext>
                These issues are addressed in 
                <internal.reference refid="a801110">clause 3</internal.reference>
                 and it may be useful to have a summary of the key legislative provisions and links to any authoritative guidance as a schedule or appendix to the Agreement (see 
                <internal.reference refid="a887909">Schedule 1</internal.reference>
                ).
              </paratext>
            </para>
            <para>
              <paratext>
                Generally, the Agreement will not in itself provide any form of legal indemnity from action under the UK GDPR or applicable data protection laws within the EEA, except if the optional indemnity at 
                <internal.reference refid="a296088">clause 16</internal.reference>
                 is included (see 
                <internal.reference refid="a296088">clause 16</internal.reference>
                ). However, should there be a complaint or a data security breach, the Information Commissioner or a national regulator may take the Agreement into consideration. As such, the Agreement will assist in justifying the data sharing and demonstrating mindfulness, in written form, of the various compliance issues inherent with data sharing and provide evidence of how the parties agreed to solve them.
              </paratext>
            </para>
          </division>
          <division id="a401132" level="1">
            <head align="left" preservecase="true">
              <headtext>Enforcement</headtext>
            </head>
            <para>
              <paratext>
                UK controllers must be aware that there are minor differences between the way in which some of the terms in the 
                <link href="w-027-1020" style="ACTLinkPLCtoPLC">
                  <ital>UK GDPR</ital>
                </link>
                 are defined in the 
                <link href="w-014-9417" style="ACTLinkPLCtoPLC">
                  <ital>DPA 2018</ital>
                </link>
                . It is likely that a UK court, when interpreting a term in the context of a claim will take into account the definitions set out in the DPA 2018. However, in the event of any conflict, the court may choose to let the definition contained in the UK GDPR prevail (see 
                <internal.reference refid="a801110">clause 3</internal.reference>
                ).
              </paratext>
            </para>
          </division>
          <division id="a706608" level="1">
            <head align="left" preservecase="true">
              <headtext>Anonymisation and pseudonymisation</headtext>
            </head>
            <para>
              <paratext>
                Some data sharing does not include personal data (for example, where statistical data is shared that does not identify anyone). In cases where the data is genuinely anonymous, the 
                <link href="w-027-1020" style="ACTLinkPLCtoPLC">
                  <ital>UK GDPR</ital>
                </link>
                 and the 
                <link href="w-014-9417" style="ACTLinkPLCtoPLC">
                  <ital>DPA 2018</ital>
                </link>
                 do not apply. Some controllers prefer, therefore, to anonymise the data that they intend to share.
              </paratext>
            </para>
            <para>
              <paratext>
                The ICO has published a code of practice, which was originally published under the DPA 1998, to assist controllers with anonymisation (see 
                <link href="https://ico.org.uk/media/for-organisations/documents/1061/anonymisation-code.pdf" style="ACTLinkURL">
                  <ital>ICO: Anonymisation: managing data protection risk code of practice</ital>
                </link>
                ). It is updating its guidance on this topic, see 
                <link href="w-030-2809" style="ACTLinkPLCtoPLC">
                  <ital>Legal updates, ICO outlines plans to update anonymisation and pseudonymisation guidance and seeks initial feedback</ital>
                </link>
                 and 
                <link href="w-034-3840" style="ACTLinkPLCtoPLC">
                  <ital>ICO calls for views on new anonymisation and pseudonymisation guidance</ital>
                </link>
                 and 
                <link href="w-037-0007" style="ACTLinkPLCtoPLC">
                  <ital>ICO extends closing date for consultation on its draft anonymisation, pseudonymisation and PETs guidance</ital>
                </link>
                . The guidance will be published as a single document, incorporating the following updated chapters:
              </paratext>
            </para>
            <list type="bulleted">
              <list.item>
                <para>
                  <paratext>Introduction to Anonymisation.</paratext>
                </para>
              </list.item>
              <list.item>
                <para>
                  <paratext>Identifiability.</paratext>
                </para>
              </list.item>
              <list.item>
                <para>
                  <paratext>Pseudonymisation</paratext>
                </para>
              </list.item>
              <list.item>
                <para>
                  <paratext>Accountability and governance.</paratext>
                </para>
              </list.item>
            </list>
            <para>
              <paratext>
                It will also include a new chapter on anonymisation and research. The ICO plans to publish several case studies to demonstrate how various technologies can be used to facilitate compliant data sharing.  The ICO anticipated that the anonymisation and pseudonymisation guidance and separately the PETs guidance would be published for final consultation in late spring 2023.  For the draft chapters see 
                <link href="https://ico.org.uk/about-the-ico/ico-and-stakeholder-consultations/ico-call-for-views-anonymisation-pseudonymisation-and-privacy-enhancing-technologies-guidance/" style="ACTLinkURL">
                  <ital>ICO blog: ICO call for views: Anonymisation, pseudonymisation and privacy enhancing technologies guidance</ital>
                </link>
              </paratext>
            </para>
            <para>
              <paratext>
                The 
                <link href="1-508-0312" style="ACTLinkPLCtoPLC">
                  <ital>Article 29 Working Party</ital>
                </link>
                 (WP29) (now replaced by the 
                <link href="w-014-9105" style="ACTLinkPLCtoPLC">
                  <ital>European Data Protection Board</ital>
                </link>
                 (EDPB)) has also published an Opinion on anonymisation techniques that draws attention to the effects of anonymisation when sharing personal data (see 
                <link href="http://practicallaw.com/5-565-4346" style="ACTLinkURL">
                  <ital>Legal update, Article 29 Working Party adopts opinion on anonymisation techniques</ital>
                </link>
                ).
              </paratext>
            </para>
            <para>
              <paratext>
                Pseudonymised data (
                <ital>Article 4(5), UK GDPR</ital>
                ), where personal data cannot be attributed to a data subject without additional information, is still regarded as personal data. For further information see 
                <link href="w-029-2305" style="ACTLinkPLCtoPLC">
                  <ital>Practice note, Anonymisation and pseudonymisation under UK GDPR and DPA 2018</ital>
                </link>
                .
              </paratext>
            </para>
          </division>
          <division id="a310629" level="1">
            <head align="left" preservecase="true">
              <headtext>Before entering into the Agreement</headtext>
            </head>
            <para>
              <paratext>Companies that are parties to the Agreement should do the following before entering into a data sharing agreement:</paratext>
            </para>
            <list type="bulleted">
              <list.item>
                <para>
                  <paratext>Review their constitutional documents (their memorandum and articles of association) to ensure that there are no restrictions on sharing personal data in a particular way.</paratext>
                </para>
              </list.item>
              <list.item>
                <para>
                  <paratext>Check any industry specific regulations or guidance about handling personal data, as this may affect their ability to share.</paratext>
                </para>
              </list.item>
              <list.item>
                <para>
                  <paratext>
                    Check that there are no legal constraints (other than the 
                    <link href="w-027-1020" style="ACTLinkPLCtoPLC">
                      <ital>UK GDPR</ital>
                    </link>
                    ) that would prevent them sharing the personal data, for example copyright restrictions, the law of confidence or contractual obligations owed to sources of the shared personal data. For further information see 
                    <link href="9-107-3741" style="ACTLinkPLCtoPLC">
                      <ital>Practice notes, Overview of copyright</ital>
                    </link>
                     and 
                    <link href="8-384-4456" style="ACTLinkPLCtoPLC">
                      <ital>Protecting confidential information: overview</ital>
                    </link>
                    .
                  </paratext>
                </para>
              </list.item>
            </list>
            <para>
              <paratext>
                The controller must also carry out a 
                <link href="w-014-8176" style="ACTLinkPLCtoPLC">
                  <ital>data protection impact assessment</ital>
                </link>
                 (DPIA) where the type of processing is likely to result in a high risk to the rights and freedoms of natural persons (Article 35(1), UK GDPR). This will assist in assessing the benefits of the data sharing, the risks and likelihood of damage or distress to the data subjects concerned. It also enables parties to consider any potential harm to their organisation's reputation if data is shared inappropriately and the risk of any personal data breaches occurring. DPIAs enable controllers to identify data protection risks and to mitigate them as early as possible during the development of a project or a proposal. By commencing a DPIA early in a project, and involving its data protection officer (where it has one) as necessary a controller may avoid problems being discovered at a later stage. For further information see:
              </paratext>
            </para>
            <list type="bulleted">
              <list.item>
                <para>
                  <paratext>
                    <link anchor="a280857" href="w-018-8492" style="ACTLinkPLCtoPLC">
                      <ital>Practice note, Overview of data sharing arrangements (GDPR and DPA 2018) (UK): Privacy impact assessments</ital>
                    </link>
                    .
                  </paratext>
                </para>
              </list.item>
              <list.item>
                <para>
                  <paratext>
                    <link href="w-011-7212" style="ACTLinkPLCtoPLC">
                      <ital>Standard document, Data protection impact assessment (DPIA) (UK)</ital>
                    </link>
                    <ital>.</ital>
                  </paratext>
                </para>
              </list.item>
              <list.item>
                <para>
                  <paratext>
                    <link href="https://ico.org.uk/for-organisations/uk-gdpr-guidance-and-resources/accountability-and-governance/data-protection-impact-assessments-dpias/" style="ACTLinkURL">
                      <ital>ICO: Data Protection Impact Assessments</ital>
                    </link>
                     (see 
                    <link href="w-018-4539" style="ACTLinkPLCtoPLC">
                      <ital>Legal update, ICO updates data protection impact assessment guidance</ital>
                    </link>
                    ).
                  </paratext>
                </para>
              </list.item>
              <list.item>
                <para>
                  <paratext>
                    <link href="https://ec.europa.eu/newsroom/article29/items/611236" style="ACTLinkURL">
                      <ital>WP29: Guidelines on Data Protection Impact Assessment and determining whether processing is "likely to result in a high risk" for the purposes of Regulation 2016/679 (WP248)</ital>
                    </link>
                     (revised and adopted on 4 October 2017) (see 
                    <link href="w-010-9898" style="ACTLinkPLCtoPLC">
                      <ital>Legal update, Article 29 Working Party adopts revised Guidelines on Data Protection Impact Assessment</ital>
                    </link>
                    ).  Endorsed by the EDPB.
                  </paratext>
                </para>
              </list.item>
              <list.item>
                <para>
                  <paratext>
                    <link href="w-017-2224" style="ACTLinkPLCtoPLC">
                      <ital>Legal update, EDPB adopts opinions establishing common criteria for data protection impact assessment lists</ital>
                    </link>
                    .
                  </paratext>
                </para>
              </list.item>
            </list>
          </division>
          <division id="a260443" level="1">
            <head align="left" preservecase="true">
              <headtext>Review of the E-Privacy Directive and Brexit</headtext>
            </head>
            <para>
              <paratext>
                The European Commission has been consulting on the 
                <link href="2-507-2632" style="ACTLinkPLCtoPLC">
                  <ital>E-Privacy Directive (2002/58/EC)</ital>
                </link>
                 (as amended), which was implemented in the UK by the 
                <link href="1-507-2637" style="ACTLinkPLCtoPLC">
                  <ital>Privacy and Electronic (EC Directive) Communications Regulations 2003 (SI 2003/2426)</ital>
                </link>
                <bold> </bold>
                (as amended) (PECR) (see 
                <link href="https://uk.practicallaw.thomsonreuters.com/7-626-4109" style="ACTLinkURL">
                  <ital>Legal updates, European Commission consults on E-Privacy Directive</ital>
                </link>
                ). The review forms part of the EU's Digital Single Market Strategy and is in part to ensure consistency with the GDPR (see 
                <link href="7-614-4193" style="ACTLinkPLCtoPLC">
                  <ital>Legal update, A digital single market: the European Commission unveils its strategy</ital>
                </link>
                ).
              </paratext>
            </para>
            <para>
              <paratext>
                In January 2017, the Commission published the draft E-Privacy Regulation (
                <ital>2017/003(COD)</ital>
                ) (draft ePR), Due to delays in negotiations, the draft was not finalised in time to align with the GDPR on 25 May 2018, and the ICO confirmed that PECR (with GDPR standard of consent) would continue to apply in the UK (see 
                <link href="w-013-9892" style="ACTLinkPLCtoPLC">
                  <ital>Legal update, Government confirms delay to draft E-Privacy Regulation</ital>
                </link>
                ).  After further delays, progress was made on 10 February 2021 when EU member state representatives in the Council's Committee of Permanent Representatives (COREPER) agreed their 
                <link href="_blank" style="ACTLinkPLCtoPLC">
                  <ital>negotiating mandate</ital>
                </link>
                , thereby clearing the way for the Council to start talks with the European Parliament to agree the final text in trilogue negotiations (see 
                <link href="w-029-6174" style="ACTLinkPLCtoPLC">
                  <ital>Legal update, Council agrees negotiating position on draft ePrivacy Regulation</ital>
                </link>
                 and 
                <link href="http://in-houseblog.practicallaw.com/what-can-we-make-of-the-portuguese-presidencys-new-draft-of-the-eprivacy-regulation/" style="ACTLinkURL">
                  <ital>In-house blogs, What can we make of the Portuguese presidency's new draft of the ePrivacy Regulation?</ital>
                </link>
                 and 
                <link href="http://in-houseblog.practicallaw.com/eprivacy-regulation-path-cleared-for-talks-with-the-european-parliament/" style="ACTLinkURL">
                  <ital>ePrivacy Regulation: path cleared for talks with the European Parliament</ital>
                </link>
                ).
              </paratext>
            </para>
            <para>
              <paratext>
                Post-transition period, the draft ePR once it is finalised will not form part of UK law, however, the UK will still need to consider to what extent to mirror the new rules and is likely to still be caught by it in view of its territorial scope.   To track the progress of the proposal and for regulatory opinions and drafts, see 
                <link href="https://uk.practicallaw.thomsonreuters.com/w-007-8182" style="ACTLinkURL">
                  <ital>E-Privacy Legislation legislation tracker</ital>
                </link>
                <ital>.</ital>
              </paratext>
            </para>
            <para>
              <paratext>
                The draft ePR is relevant in the context of direct marketing (see 
                <internal.reference refid="a384899">Drafting note, Direct marketing (optional clause)</internal.reference>
                ).
              </paratext>
            </para>
          </division>
          <division id="a812744" level="1">
            <head align="left" preservecase="true">
              <headtext>Drafting issues</headtext>
            </head>
            <para>
              <paratext>
                This standard document is drafted as a simple contract. It is standard practice in the UK for the execution clauses to appear after the schedules. For a detailed discussion of execution formalities and specimen execution clauses for various legal entities, see 
                <link href="0-380-8400" style="ACTLinkPLCtoPLC">
                  <ital>Practice note, Execution of deeds and documents</ital>
                </link>
                .
              </paratext>
            </para>
          </division>
          <division id="a540294" level="1">
            <head align="left" preservecase="true">
              <headtext>Drafting for Brexit</headtext>
            </head>
            <para>
              <paratext>
                The UK-EU transition period from the EU ended on 31 December 2020 and the UK-EU trade and co-operation agreement governs the UK-EU trading relationship on a provisional basis and businesses entering into contracts are able, to some extent, to assess the commercial and economic implications with more certainty (see 
                <link anchor="a384134" href="w-016-6161" style="ACTLinkPLCtoPLC">
                  <ital>Brexit essentials: Q&amp;As on agreements, timeframes and no deal: What happened at the end of the transition period?</ital>
                </link>
                ).
              </paratext>
            </para>
            <para>
              <paratext>
                However, there may still be uncertainty about certain commercial impacts of Brexit and contracts may need to contain a mechanism to deal with contractual change and risk (see 
                <link anchor="a426234" href="w-012-9367" style="ACTLinkPLCtoPLC">
                  <ital>Practice note, Brexit: effect on commercial contracts: Commercial impact</ital>
                </link>
                )
                <ital>.</ital>
              </paratext>
            </para>
            <para>
              <paratext>Without express drafting to address Brexit related events, there is a risk that a party will be contractually obliged to perform its obligations in full even if, because of Brexit, doing so becomes commercially unattractive or unachievable on the original terms.</paratext>
            </para>
            <para>
              <paratext>
                For short-term contracts or those which can be quickly terminated, express Brexit-related drafting may not be necessary (see 
                <link anchor="a277104" href="w-005-3555" style="ACTLinkPLCtoPLC">
                  <ital>Practice note, Drafting for Brexit: Brexit clauses, Do I need a Brexit clause?</ital>
                </link>
                ).
              </paratext>
            </para>
            <para>
              <paratext>
                Where the parties do want to expressly address Brexit, one option is to include a "Brexit clause", which triggers a right to renegotiate and potentially terminate following Brexit (see 
                <link href="w-005-3555" style="ACTLinkPLCtoPLC">
                  <ital>Practice note, Drafting for Brexit: Brexit clauses</ital>
                </link>
                )
              </paratext>
            </para>
            <division id="a133765" level="2">
              <head align="left" preservecase="true">
                <headtext>Defining Brexit</headtext>
              </head>
              <para>
                <paratext>
                  Any express drafting will involve defining what event constitutes Brexit (see 
                  <link anchor="a523961" href="w-005-3555" style="ACTLinkPLCtoPLC">
                    <ital>Practice note, Drafting for Brexit: Brexit clauses: How should Brexit be defined?</ital>
                  </link>
                  ).  The two candidate events we suggest are the UK formally ceasing to be a member of the EU, and the end of the UK-EU transition period, for example:
                </paratext>
              </para>
              <para>
                <paratext>
                  <bold>Brexit</bold>
                  : the UK ceasing to be a member state of the European Union [on 31 January 2020] [and ceasing, on 31 December 2020, to be subject to the transition or implementation arrangements provided for by Part 4 of the withdrawal agreement between the UK and the European Union negotiated under Article 50(2) of the Treaty of the European Union which sets out the arrangements for the UK's withdrawal from the European Union.]
                </paratext>
              </para>
              <division id="a911959" level="3">
                <head align="left" preservecase="true">
                  <headtext>Formal cessation of EU membership</headtext>
                </head>
                <para>
                  <paratext>
                    The UK formally ceased to be a member of the EU on 31 January 2020 at 11pm GMT
                    <ital>.</ital>
                  </paratext>
                </para>
                <para>
                  <paratext>The first part of the definition refers to this formal cessation of EU membership.</paratext>
                </para>
              </division>
              <division id="a380191" level="3">
                <head align="left" preservecase="true">
                  <headtext>Cessation of transitional arrangements</headtext>
                </head>
                <para>
                  <paratext>
                    Under the UK-EU withdrawal agreement the transition period delayed the commercial impact of Brexit until 31 December 2020 (see 
                    <link anchor="co_anchor_a849112" href="https://uk.practicallaw.thomsonreuters.com/w-013-0560?originationContext=document&amp;amp;transitionType=DocumentItem&amp;amp;contextData=(sc.Default)" style="ACTLinkURL">
                      <ital>Practice note, UK-EU withdrawal agreement: transition text: Duration of transition period and extension</ital>
                    </link>
                    ).
                  </paratext>
                </para>
                <para>
                  <paratext>
                    The second part of the definition provides that Brexit is not deemed to have occurred until these transitional arrangements ceased to apply on 31 December 2020. The wording broadly mirrors the language used to describe the transition period in the EUWA, as amended by European Union (Withdrawal Agreement) Act 2020, see 
                    <link href="https://uk.practicallaw.thomsonreuters.com/w-022-5503?originationContext=document&amp;amp;transitionType=DocumentItem&amp;amp;contextData=(sc.Default)" style="ACTLinkURL">
                      <ital>Practice note, European Union (Withdrawal Agreement) Act 2020</ital>
                    </link>
                    .
                  </paratext>
                </para>
                <para>
                  <paratext>For guidance on the issues to consider when assessing the possible impact of Brexit when drafting an agreement, see:</paratext>
                </para>
                <list type="bulleted">
                  <list.item>
                    <para>
                      <paratext>
                        <link href="w-005-3555" style="ACTLinkPLCtoPLC">
                          <ital>Practice note, Drafting for Brexit, Brexit clauses</ital>
                        </link>
                        , which includes specimen Brexit clauses which controllers should consider including in this agreement.
                      </paratext>
                    </para>
                  </list.item>
                  <list.item>
                    <para>
                      <paratext>
                        <link href="w-023-8651" style="ACTLinkPLCtoPLC">
                          <ital>Legal update, Brexit: updated boilerplate materials</ital>
                        </link>
                        .
                      </paratext>
                    </para>
                  </list.item>
                  <list.item>
                    <para>
                      <paratext>
                        <link href="w-016-7309" style="ACTLinkPLCtoPLC">
                          <ital>Brexit: implications for data protection</ital>
                        </link>
                        <ital>.</ital>
                      </paratext>
                    </para>
                  </list.item>
                  <list.item>
                    <para>
                      <paratext>
                        Practical Law's 
                        <link href="https://uk.practicallaw.thomsonreuters.com/Browse/Home/Resources/Brexit?transitionType=Default&amp;amp;contextData=(sc.Default)&amp;amp;navId=D9D7809C0D004D030786794CAA435937&amp;amp;comp=pluk" style="ACTLinkURL">
                          <ital>Brexit</ital>
                        </link>
                         page.
                      </paratext>
                    </para>
                  </list.item>
                  <list.item>
                    <para>
                      <paratext>
                        <link href="w-013-0603" style="ACTLinkPLCtoPLC">
                          <ital>UK legal change post-transition and UK-EU agreements toolkit</ital>
                        </link>
                        .
                      </paratext>
                    </para>
                  </list.item>
                  <list.item>
                    <para>
                      <paratext>
                        <link href="https://uk.practicallaw.thomsonreuters.com/w-012-9367?originationContext=document&amp;amp;transitionType=DocumentItem&amp;amp;contextData=(sc.Default)" style="ACTLinkURL">
                          <ital>Brexit: effect on commercial contracts</ital>
                        </link>
                        .
                      </paratext>
                    </para>
                  </list.item>
                </list>
              </division>
            </division>
          </division>
        </drafting.note>
        <intro default="false">
          <intro.date>This Agreement is dated [DATE]</intro.date>
        </intro>
        <parties>
          <head align="left" preservecase="true">
            <headtext>PARTIES</headtext>
          </head>
          <drafting.note id="a379252" jurisdiction="">
            <head align="left" preservecase="true">
              <headtext>Parties</headtext>
            </head>
            <division id="a000016" level="1">
              <para>
                <paratext>
                  This Agreement provides for one data discloser, who is required to ensure that the disclosure complies with the 
                  <link href="w-027-1020" style="ACTLinkPLCtoPLC">
                    <ital>UK GDPR</ital>
                  </link>
                   and 
                  <link href="w-014-9417" style="ACTLinkPLCtoPLC">
                    <ital>DPA 2018</ital>
                  </link>
                  . It provides flexibility to add more data receivers. Data receivers 3 and 4 below are optional.
                </paratext>
              </para>
              <para>
                <paratext>
                  For further information see 
                  <internal.reference refid="a433234">Drafting note, Review and termination</internal.reference>
                  .
                </paratext>
              </para>
            </division>
          </drafting.note>
          <party executionmethod="contract" id="a149737" status="company">
            <identifier>(1)</identifier>
            <defn.item>
              <defn>
                <para>
                  <paratext>[FULL COMPANY NAME] incorporated and registered in England and Wales with company number [NUMBER] whose registered office is at [REGISTERED OFFICE ADDRESS]</paratext>
                </para>
              </defn>
              <defn.term>Data Discloser</defn.term>
            </defn.item>
          </party>
          <party executionmethod="contract" id="a225323" status="company">
            <identifier>(2)</identifier>
            <defn.item>
              <defn>
                <para>
                  <paratext>[FULL COMPANY NAME] incorporated and registered in England and Wales with company number [NUMBER] whose registered office is at [REGISTERED OFFICE ADDRESS]</paratext>
                </para>
              </defn>
              <defn.term>Data Receiver</defn.term>
            </defn.item>
          </party>
          <party condition="optional" executionmethod="contract" id="a333932" status="company">
            <identifier>(3)</identifier>
            <defn.item>
              <defn>
                <para>
                  <paratext>[FULL COMPANY NAME] incorporated and registered in England and Wales with company number [NUMBER] whose registered office is at [REGISTERED OFFICE ADDRESS]</paratext>
                </para>
              </defn>
              <defn.term>Data Receiver</defn.term>
            </defn.item>
          </party>
          <party condition="optional" executionmethod="contract" id="a165849" status="company">
            <identifier>(4)</identifier>
            <defn.item>
              <defn>
                <para>
                  <paratext>[FULL COMPANY NAME] incorporated and registered in England and Wales with company number [NUMBER] whose registered office is at [REGISTERED OFFICE ADDRESS]</paratext>
                </para>
              </defn>
              <defn.term>Data Receiver</defn.term>
            </defn.item>
          </party>
        </parties>
        <recitals>
          <head align="left" preservecase="true">
            <headtext>BACKGROUND</headtext>
          </head>
          <drafting.note id="a684063" jurisdiction="">
            <head align="left" preservecase="true">
              <headtext>Background</headtext>
            </head>
            <division id="a000017" level="1">
              <para>
                <paratext>This section, sometimes called recitals, gives a narrative recitation of the background and purpose of the Agreement. It can be a useful point to introduce unusual or complicated features of the Agreement, which can be defined and then picked up later in the Agreement.</paratext>
              </para>
              <para>
                <paratext>As a matter of general construction, this part of the Agreement does not form part of its operative provisions. That is, it does not have direct legal consequences, although in cases of dispute it may be used as an interpretative guide to operative provisions that are subsequently found to be obscure or ambiguous or otherwise the subject of dispute.</paratext>
              </para>
            </division>
          </drafting.note>
          <clause id="a481953">
            <identifier>(A)</identifier>
            <para>
              <paratext>
                The Data Discloser agrees to share the Personal Data with the Data Receiver [in the UK] [and] [in the European Economic Area (
                <defn.term>EEA</defn.term>
                )] on terms set out in the Agreement.
              </paratext>
            </para>
          </clause>
          <clause id="a272595">
            <identifier>(B)</identifier>
            <para>
              <paratext>The Data Receiver agrees to use the Personal Data within the [UK] [and [EEA]] on the terms set out in this Agreement.</paratext>
            </para>
          </clause>
          <clause id="a393794">
            <identifier>(C)</identifier>
            <para>
              <paratext>This is a free-standing Agreement that does not incorporate commercial business terms established by the parties under separate commercial arrangements.</paratext>
            </para>
          </clause>
        </recitals>
        <operative xrefname="clause">
          <head align="left" preservecase="true">
            <headtext>AGREED TERMS</headtext>
          </head>
          <clause id="a496256">
            <identifier>1.</identifier>
            <head align="left" preservecase="true">
              <headtext>Interpretation</headtext>
            </head>
            <drafting.note id="a192424" jurisdiction="">
              <head align="left" preservecase="true">
                <headtext>Interpretation</headtext>
              </head>
              <division id="a000018" level="1">
                <para>
                  <paratext>
                    For information on interpretation clauses generally, see 
                    <link href="5-107-3795" style="ACTLinkPLCtoPLC">
                      <ital>Standard clause, Interpretation</ital>
                    </link>
                    .
                  </paratext>
                </para>
              </division>
            </drafting.note>
            <para>
              <paratext>The following definitions and rules of interpretation apply in this Agreement.</paratext>
            </para>
            <subclause1 id="a923833">
              <identifier>1.1</identifier>
              <para>
                <paratext>Definitions:</paratext>
              </para>
              <defn.item id="a424284">
                <defn.term>Agreed Purpose</defn.term>
                <defn>
                  <para>
                    <paratext>
                      has the meaning given to it in 
                      <internal.reference refid="a508264">clause 2</internal.reference>
                       of this Agreement.
                    </paratext>
                  </para>
                </defn>
              </defn.item>
              <defn.item id="a816221">
                <defn.term>Agreement</defn.term>
                <defn>
                  <para>
                    <paratext>this agreement, which is a free-standing document that does not incorporate commercial business terms established by the parties under separate commercial arrangements.</paratext>
                  </para>
                </defn>
              </defn.item>
              <defn.item id="a516494">
                <defn.term>Business Day</defn.term>
                <defn>
                  <para>
                    <paratext>a day other than a Saturday, Sunday or public holiday in England when banks in [London] are open for business.</paratext>
                  </para>
                </defn>
              </defn.item>
              <defn.item id="a814501">
                <defn.term>Commencement Date</defn.term>
                <defn>
                  <para>
                    <paratext>
                      [DATE] 
                      <bold>OR</bold>
                       has the meaning given at the beginning of the Agreement].
                    </paratext>
                  </para>
                </defn>
              </defn.item>
              <defn.item id="a837637">
                <defn.term>Criminal Offence Data</defn.term>
                <defn>
                  <para>
                    <paratext>means Personal Data relating to criminal convictions and offences or related security measures to be read in accordance with section 11(2) of the DPA 2018 (or other applicable Data Protection Legislation).</paratext>
                  </para>
                </defn>
              </defn.item>
              <defn.item id="a571664">
                <defn.term>Data Sharing Code: the Information Commissioner's statutory data sharing code of practice which came into force on 5 October 2021, as updated or amended from time to time.</defn.term>
                <defn>
                  <para>
                    <paratext/>
                  </para>
                </defn>
              </defn.item>
              <defn.item id="a787847">
                <defn.term>Deletion Procedure</defn.term>
                <defn>
                  <para>
                    <paratext>
                      has the meaning given to it in 
                      <internal.reference refid="a730569">clause 8.3</internal.reference>
                       and 
                      <internal.reference refid="a676184">Schedule 8</internal.reference>
                       to this Agreement.
                    </paratext>
                  </para>
                </defn>
              </defn.item>
              <defn.item id="a618113">
                <defn.term>[Data Protection Legislation</defn.term>
                <defn>
                  <para>
                    <paratext>all applicable data protection and privacy legislation in force from time to time in the UK including the UK GDPR; the Data Protection Act 2018 (DPA 2018) (and regulations made thereunder);  and the Privacy and Electronic Communications Regulations 2003 (SI 2003 No. 2426) as amended; [and all other legislation and regulatory requirements in force from time to time which apply to a party relating to the use of Personal Data (including, without limitation, the privacy of electronic communications)]; [and the guidance and codes of practice issued by the Information Commissioner or other relevant data protection or supervisory authority and applicable to a party].</paratext>
                  </para>
                  <para>
                    <paratext>
                      <bold>OR</bold>
                    </paratext>
                  </para>
                  <para>
                    <paratext>
                      <bold>Data Protection Legislation</bold>
                      :
                    </paratext>
                  </para>
                  <list type="loweralpha">
                    <list.item>
                      <para>
                        <paratext>To the extent the UK GDPR applies, the law of the United Kingdom or of a part of the United Kingdom which relates to the protection of personal data.</paratext>
                      </para>
                    </list.item>
                    <list.item>
                      <para>
                        <paratext>To the extent the EU GDPR applies, the law of the European Union or any member state of the European Union to which the party is subject, which relates to the protection of personal data.]</paratext>
                      </para>
                    </list.item>
                  </list>
                </defn>
                <drafting.note id="a931977" jurisdiction="">
                  <head align="left" preservecase="true">
                    <headtext>Data Protection Legislation</headtext>
                  </head>
                  <division id="a000019" level="1">
                    <para>
                      <paratext>The first definition option covers UK legislation and will be appropriate in most cases where the parties are UK based. It also includes an optional reference to guidance and codes of practice, which the parties may prefer to remove as these have the potential to change frequently and will be open to interpretation.</paratext>
                    </para>
                    <para>
                      <paratext>
                        However, if the parties are also subject to the 
                        <link href="6-631-1875" style="ACTLinkPLCtoPLC">
                          <ital>EU GDPR</ital>
                        </link>
                        , or other data protection legislation (or deem it prudent to include this as there is a possibility of the EU GDPR applying), they should consider amending the definition of Data Protection Legislation to include the additional wording shown.
                      </paratext>
                    </para>
                    <para>
                      <paratext>
                        Alternatively, if the parties only wish to cover the 
                        <link href="w-027-1020" style="ACTLinkPLCtoPLC">
                          <ital>UK GDPR</ital>
                        </link>
                         and EU GDPR, the second definition option can be used.
                      </paratext>
                    </para>
                    <para>
                      <paratext>
                        The 
                        <link href="w-014-9417" style="ACTLinkPLCtoPLC">
                          <ital>DPA 2018</ital>
                        </link>
                         supplements the UK GDPR and both pieces of legislation must be taken into account. Where the processing relates only to law enforcement processing (covered by 
                        <link href="w-016-9332" style="ACTLinkPLCtoPLC">
                          <ital>Part 3, DPA 2018</ital>
                        </link>
                        ) or intelligence services processing (covered by 
                        <link href="w-016-9336" style="ACTLinkPLCtoPLC">
                          <ital>Part 4, DPA 2018</ital>
                        </link>
                        ), the DPA 2018 applies and not the UK GDPR and the parties may wish to amend the definition to reflect this.
                      </paratext>
                    </para>
                    <para>
                      <paratext>
                        Where the EU GDPR applies, each member state will have local data protection legislation, see 
                        <link href="w-012-6272" style="ACTLinkPLCtoPLC">
                          <ital>Practice note, Practice note, Overview, GDPR Derogations and Exemptions</ital>
                        </link>
                         and 
                        <link href="https://uk.practicallaw.thomsonreuters.com/Browse/Home/PracticalLawGlobal/DataPrivacyCybersecurity?transitionType=Default&amp;amp;contextData=(sc.Default)&amp;amp;navId=4CBE7A5AD01566F442CF2EEE529A4743&amp;amp;comp=pluk" style="ACTLinkURL">
                          <ital>Global Practice Area: Data Privacy &amp; Cybersecurity</ital>
                        </link>
                        <ital>.</ital>
                      </paratext>
                    </para>
                    <para>
                      <paratext>
                        For more information on the data protection legislation, see 
                        <link href="w-013-3757" style="ACTLinkPLCtoPLC">
                          <ital>Practice notes: Overview of UK GDPR</ital>
                        </link>
                         and 
                        <link href="w-014-5998" style="ACTLinkPLCtoPLC">
                          <ital>Data Protection Act 2018: overview</ital>
                        </link>
                        <ital> </ital>
                        and 
                        <link href="w-022-0576" style="ACTLinkPLCtoPLC">
                          <ital>UK GDPR and DPA 2018: quick guide</ital>
                        </link>
                        .
                      </paratext>
                    </para>
                  </division>
                </drafting.note>
              </defn.item>
              <defn.item condition="optional" id="a679251">
                <defn.term>EU GDPR</defn.term>
                <defn>
                  <para>
                    <paratext>
                      the General Data Protection Regulation (
                      <ital>(EU) 2016/679</ital>
                      ).
                    </paratext>
                  </para>
                </defn>
                <drafting.note id="a200945" jurisdiction="">
                  <head align="left" preservecase="true">
                    <headtext>EU GDPR (optional definition)</headtext>
                  </head>
                  <division id="a000020" level="1">
                    <para>
                      <paratext>
                        This is an optional definition. A definition for 
                        <link href="w-026-8527" style="ACTLinkPLCtoPLC">
                          <ital>EU GDPR</ital>
                        </link>
                         can be included depending on how Data Protection Legislation is defined.
                      </paratext>
                    </para>
                  </division>
                </drafting.note>
              </defn.item>
              <defn.item id="a258154">
                <defn.term>UK GDPR</defn.term>
                <defn>
                  <para>
                    <paratext>has the meaning given to it in section 3(10) (as supplemented by section 205(4)) of the Data Protection Act 2018.</paratext>
                  </para>
                </defn>
              </defn.item>
              <defn.item id="a891828">
                <defn.term>Personal Data Breach</defn.term>
                <defn>
                  <para>
                    <paratext>a breach of security leading to the accidental or unlawful destruction, loss, alteration, unauthorised disclosure of, or access to the Shared Personal Data.</paratext>
                  </para>
                </defn>
              </defn.item>
              <defn.item id="a485421">
                <defn.term>Shared Personal Data</defn.term>
                <defn>
                  <para>
                    <paratext>
                      the Personal Data [and Special Categories of Personal Data] to be shared between the parties under 
                      <internal.reference refid="a164129">clause 4</internal.reference>
                       of this Agreement.
                    </paratext>
                  </para>
                </defn>
              </defn.item>
              <defn.item id="a329468">
                <defn.term>Special Categories of Personal Data</defn.term>
                <defn>
                  <para>
                    <paratext>the categories of Personal Data set out in the Data Protection Legislation.</paratext>
                  </para>
                </defn>
              </defn.item>
              <defn.item id="a839399">
                <defn.term>Subject Rights Request</defn.term>
                <defn>
                  <para>
                    <paratext>the exercise by a data subject of their rights under the Data Protection Legislation.</paratext>
                  </para>
                </defn>
              </defn.item>
              <defn.item id="a240959">
                <defn.term>Supervisory Authority</defn.term>
                <defn>
                  <para>
                    <paratext>the relevant supervisory authority in the territories where the parties to this Agreement are established (other than the Information Commissioner).</paratext>
                  </para>
                </defn>
              </defn.item>
              <defn.item id="a114097">
                <defn.term>Term</defn.term>
                <defn>
                  <para>
                    <paratext>[AGREED LENGTH OF DATA SHARING INITIATIVE]</paratext>
                  </para>
                </defn>
              </defn.item>
            </subclause1>
            <subclause1 id="a887133">
              <identifier>1.2</identifier>
              <para>
                <paratext>
                  <bold>Controller</bold>
                  , 
                  <bold>Processor</bold>
                  , 
                  <bold>Information Commissioner</bold>
                  , 
                  <bold>Data Subject</bold>
                   and 
                  <bold>Personal Data</bold>
                  , 
                  <bold>Processing</bold>
                   and 
                  <bold>appropriate technical and organisational</bold>
                   measures shall have the meanings given to them in the Data Protection Legislation.
                </paratext>
              </para>
              <drafting.note id="a868634" jurisdiction="">
                <head align="left" preservecase="true">
                  <headtext>Data Protection definitions</headtext>
                </head>
                <division id="a000021" level="1">
                  <para>
                    <paratext>
                      In some cases the 
                      <link href="w-014-9417" style="ACTLinkPLCtoPLC">
                        <ital>DPA 2018</ital>
                      </link>
                       modifies the 
                      <link href="w-027-1020" style="ACTLinkPLCtoPLC">
                        <ital>UK GDPR</ital>
                      </link>
                       definitions or includes additional definitions and both pieces of legislation must be read together. For example, the DPA 2018 includes a definition of public authority as relevant to the UK and a definition of Commissioner.
                    </paratext>
                  </para>
                  <para>
                    <paratext>
                      For DPA 2018 definitions that apply throughout the DPA 2018, see 
                      <ital>section 3, DPA 2018</ital>
                       and for DPA 2018 definitions that apply to general processing covered by the UK GDPR under Part 2 of the DPA 2018, see 
                      <ital>sections 4 to 7, DPA 2018</ital>
                      .
                    </paratext>
                  </para>
                  <para>
                    <paratext>
                      For a list of all defined expressions in the DPA 2018, see section 206. For more information on the data protection legislation, see 
                      <link href="https://uk.practicallaw.thomsonreuters.com/w-013-3757?originationContext=document&amp;amp;transitionType=DocumentItem&amp;amp;contextData=(sc.Default)" style="ACTLinkURL">
                        <ital>Practice notes: Overview of UK GDPR</ital>
                      </link>
                       and 
                      <link href="https://uk.practicallaw.thomsonreuters.com/w-014-5998?originationContext=document&amp;amp;transitionType=DocumentItem&amp;amp;contextData=%28sc.Default%29&amp;amp;comp=pluk" style="ACTLinkURL">
                        <ital>Data Protection Act 2018: overview</ital>
                      </link>
                      .
                    </paratext>
                  </para>
                  <para>
                    <paratext>
                      See also 
                      <internal.reference refid="a401132">Drafting note, Enforcement</internal.reference>
                      .
                    </paratext>
                  </para>
                </division>
              </drafting.note>
            </subclause1>
            <subclause1 id="a941644">
              <identifier>1.3</identifier>
              <para>
                <paratext>Clause, Schedule and paragraph headings shall not affect the interpretation of this Agreement.</paratext>
              </para>
            </subclause1>
            <subclause1 id="a813641">
              <identifier>1.4</identifier>
              <para>
                <paratext>The Schedules form part of this Agreement and shall have effect as if set out in full in the body of this Agreement. Any reference to this Agreement includes the Schedules.</paratext>
              </para>
            </subclause1>
            <subclause1 id="a138576">
              <identifier>1.5</identifier>
              <para>
                <paratext>Unless the context otherwise requires, words in the singular shall include the plural and in the plural shall include the singular.</paratext>
              </para>
            </subclause1>
            <subclause1 id="a454440">
              <identifier>1.6</identifier>
              <para>
                <paratext>A reference to a company shall include any company, corporation or other body corporate, wherever and however incorporated or established.</paratext>
              </para>
            </subclause1>
            <subclause1 id="a565805">
              <identifier>1.7</identifier>
              <para>
                <paratext>
                  [Unless expressly provided otherwise in this Agreement, a 
                  <bold>OR</bold>
                   A] reference to a legislation or legislative provision shall include all subordinate legislation made [from time to time 
                  <bold>OR </bold>
                  as at the date of this Agreement] under that legislation or legislative provision.
                </paratext>
              </para>
            </subclause1>
            <subclause1 id="a990122">
              <identifier>1.8</identifier>
              <para>
                <paratext>References to clauses and Schedules are to the clauses and Schedules of this Agreement and references to paragraphs are to paragraphs of the relevant Schedule.</paratext>
              </para>
            </subclause1>
            <subclause1 id="a959320">
              <identifier>1.9</identifier>
              <para>
                <paratext>
                  Any words following the terms 
                  <bold>including</bold>
                  , 
                  <bold>include</bold>
                  , 
                  <bold>in particular</bold>
                   or 
                  <bold>for example</bold>
                   or any similar expression shall be construed as illustrative and shall not limit the sense of the words, description, definition, phrase or term preceding those terms.
                </paratext>
              </para>
            </subclause1>
            <subclause1 id="a114172">
              <identifier>1.10</identifier>
              <para>
                <paratext>In the case of any ambiguity between any provision contained in the body of this Agreement and any provision contained in the Schedules, the provision in the body of this Agreement shall take precedence.</paratext>
              </para>
            </subclause1>
            <subclause1 id="a777934">
              <identifier>1.11</identifier>
              <para>
                <paratext>
                  A reference to 
                  <bold>writing</bold>
                   or 
                  <bold>written</bold>
                   includes fax [and email 
                  <bold>OR</bold>
                   but not email].
                </paratext>
              </para>
            </subclause1>
            <subclause1 id="a985971">
              <identifier>1.12</identifier>
              <para>
                <paratext>Unless the context otherwise requires the reference to one gender shall include a reference to the other genders.</paratext>
              </para>
            </subclause1>
          </clause>
          <clause id="a508264">
            <identifier>2.</identifier>
            <head align="left" preservecase="true">
              <headtext>Purpose</headtext>
            </head>
            <subclause1 id="a849551">
              <identifier>2.1</identifier>
              <para>
                <paratext>
                  This Agreement sets out the framework for the sharing of 
                  <bold>Personal Data</bold>
                   when one 
                  <bold>Controller</bold>
                   (the Data Discloser) discloses Personal Data to [another 
                  <bold>Controller OR </bold>
                  other
                  <bold> Controllers</bold>
                  ] (the Data Receiver/s). It defines the principles and procedures that the parties shall adhere to and the responsibilities the parties owe to each other.
                </paratext>
              </para>
            </subclause1>
            <subclause1 id="a996554">
              <identifier>2.2</identifier>
              <para>
                <paratext>
                  The parties consider this data sharing initiative necessary and proportionate as [DESCRIBE REASON(S)]. The aim of the data sharing initiative is to [DESCRIBE AIM(S)]. It is fair as it will benefit [individuals, the parties 
                  <bold>OR </bold>
                  society] by [DESCRIBE BENEFITS] and not unduly infringe the Data Subjects' fundamental rights and freedoms and interests.
                </paratext>
              </para>
            </subclause1>
            <subclause1 id="a601079">
              <identifier>2.3</identifier>
              <para>
                <paratext>
                  The parties agree to only Process Shared Personal Data, as described in [
                  <internal.reference refid="a720125">clause 4.1</internal.reference>
                   and 
                  <internal.reference refid="a415186">clause 4.2</internal.reference>
                  ] [and set out in 
                  <internal.reference refid="a499381">Schedule 2</internal.reference>
                  ] for the following purposes:
                </paratext>
              </para>
              <subclause2 id="a845301">
                <identifier>(a)</identifier>
                <para>
                  <paratext>[PURPOSE];</paratext>
                </para>
              </subclause2>
              <subclause2 id="a598928">
                <identifier>(b)</identifier>
                <para>
                  <paratext>[PURPOSE]; and</paratext>
                </para>
              </subclause2>
              <subclause2 id="a709481">
                <identifier>(c)</identifier>
                <para>
                  <paratext>[PURPOSE]].</paratext>
                </para>
              </subclause2>
              <para>
                <paratext>
                  The parties shall not Process Shared Personal Data [including for the purposes of solely automated decision making producing legal effects or similarly significant effects, or otherwise] in a way that is incompatible with the purposes described in this clause (
                  <defn.term>Agreed Purpose</defn.term>
                  ).
                </paratext>
              </para>
              <drafting.note id="a665474" jurisdiction="">
                <head align="left" preservecase="true">
                  <headtext>Purpose limitation</headtext>
                </head>
                <division id="a000022" level="1">
                  <para>
                    <paratext>
                      The second data protection principle in the 
                      <link href="w-027-1020" style="ACTLinkPLCtoPLC">
                        <ital>UK GDPR</ital>
                      </link>
                       states that personal data shall be obtained for one or more specified, explicit and legitimate purposes and shall not be further processed in any manner incompatible with that purpose or those purposes (
                      <ital>Article 5(b), UK GDPR</ital>
                      ).
                    </paratext>
                  </para>
                  <para>
                    <paratext>
                      The UK-based data discloser must ensure that it can lawfully disclose the data to the data receiver. This means that the disclosure of the personal data to the data receiver must be compatible with the original purposes for which the data discloser collected the data and which the discloser notified to the data subjects, unless it can be seen as "further processing" that meets the limited derogations for incompatible purposes as specified in Article 6(4) of the UK GDPR (see 
                      <link anchor="a563063" href="w-013-3757" style="ACTLinkPLCtoPLC">
                        <ital>Practice note, Overview of UK GDPR: Second data protection principle: purpose limitation</ital>
                      </link>
                      ).
                    </paratext>
                  </para>
                  <para>
                    <paratext>A disclosure in breach of the purpose limitation principle may result in the UK discloser's non-compliance and possible enforcement action by the ICO and complaints and/or claims by data subjects. In addition, if the discloser discloses the personal data and does not have lawful grounds to do so, the receiver may also be held responsible by the ICO (or, if in the EU, the supervisory authority in its own jurisdiction). The data receiver should, therefore, make its own checks, before entering into this Agreement. The primary responsibility for communicating the privacy notice falls to the data discloser. But, the data receiver must comply with its own data protection obligations from the moment it receives the personal data and this may include informing the data subjects that it has received the data, and notifying the data subjects as to what it intends to do with it.</paratext>
                  </para>
                  <para>
                    <paratext>
                      The parties should include an obligation or warranty that requires them to comply with the purpose limitation principle. This might also alleviate any concerns about possible reputational damage. For further information see 
                      <internal.reference refid="a108229">Drafting note, Lawful, fair and transparent processing</internal.reference>
                      .
                    </paratext>
                  </para>
                  <para>
                    <paratext>The Agreement should provide an explanation as to why the data sharing initiative is necessary, the specific aims intended to be achieved and intended benefits to individuals, the parties or society as a whole. It should also state the purposes for which the Shared Personal Data may be processed by each party. This purpose should be written in precise terms to ensure that all parties are absolutely clear as to the specific purposes for which personal data may be shared and processed.</paratext>
                  </para>
                  <para>
                    <paratext>
                      For further information see 
                      <link anchor="a166319" href="w-018-8492" style="ACTLinkPLCtoPLC">
                        <ital>Practice note, Overview of data sharing arrangements (GDPR and DPA 2018) (UK): What if circumstances change?</ital>
                      </link>
                    </paratext>
                  </para>
                </division>
              </drafting.note>
            </subclause1>
            <subclause1 id="a832968">
              <identifier>2.4</identifier>
              <para>
                <paratext>
                  Each party shall appoint a single point of contact (
                  <defn.term>SPoC</defn.term>
                  ) who will work together to reach an agreement with regards to any issues arising from the data sharing and to improve actively the effectiveness of the data sharing initiative. The points of contact for each of the parties are:
                </paratext>
              </para>
              <subclause2 id="a643446">
                <identifier>(a)</identifier>
                <para>
                  <paratext>[NAME, ROLE, TEAM AND CONTACT DETAILS OF DATA DISCLOSER'S SPOC]; and</paratext>
                </para>
              </subclause2>
              <subclause2 id="a897356">
                <identifier>(b)</identifier>
                <para>
                  <paratext>[NAME, ROLE, TEAM AND CONTACT DETAILS OF DATA RECEIVER'S SPOC]</paratext>
                </para>
              </subclause2>
            </subclause1>
          </clause>
          <clause condition="optional" id="a801110">
            <identifier>3.</identifier>
            <head align="left" preservecase="true">
              <headtext>Compliance with national data protection laws</headtext>
            </head>
            <drafting.note id="a169784" jurisdiction="">
              <head align="left" preservecase="true">
                <headtext>Compliance with national data protection laws (optional clause)</headtext>
              </head>
              <division id="a000023" level="1">
                <para>
                  <paratext>
                    Breaches of data protection laws can expose the breaching party to an investigation by their national supervisory authority (or the Information Commissioner in the UK). Investigations can often uncover further breaches and will typically result in the breaching party being publicly named causing significant damage to reputation. In addition, the Information Commissioner or relevant supervisory authority may have the power to levy fines on controllers within its jurisdiction. The UK's Information Commissioner has the power to take enforcement action and levy fines of up to the equivalent of £17.5 million or 4% of global turnover on controllers (whichever is the greater) for a serious breach of the data protection principles (
                    <ital>Article 83, </ital>
                    <link href="w-027-1020" style="ACTLinkPLCtoPLC">
                      <ital>UK GDPR</ital>
                    </link>
                    ). Although not directly relevant to the UK, the Article 29 Working Party's (WP29) (now the European Data Protection Board (EDPB)) has published guidelines on the application and setting of administrative fines (adopted on 3 October 2017) (WP 253) (see 
                    <link href="https://ec.europa.eu/newsroom/article29/items/611237/en" style="ACTLinkURL">
                      <ital>WP29: Guidelines on the application and setting of administrative fines for the purposes of Regulation 2016/679 (WP253)</ital>
                    </link>
                     and 
                    <link href="w-011-1320" style="ACTLinkPLCtoPLC">
                      <ital>Legal update, Article 29 Working Party publishes guidelines on administrative fines under GDPR</ital>
                    </link>
                    ).
                  </paratext>
                </para>
                <para>
                  <paratext>
                    Data subjects may also suffer damage or distress in the process. If so, they may question the decision to share their personal data with a breaching party who was non-compliant with data protection laws to begin with, and they may claim compensation for such damages or distress (
                    <ital>Article 82, UK GDPR</ital>
                    ).  For further information, see 
                    <link href="w-018-4325" style="ACTLinkPLCtoPLC">
                      <ital>Practice note, GDPR and DPA 2018: Compensation.</ital>
                    </link>
                  </paratext>
                </para>
                <para>
                  <paratext>
                    Where the parties are potentially subject to different data protection laws, it is therefore important to ensure that each party is compliant with data protection laws in their own jurisdiction at all times during the term of the Agreement. It may be useful to have a summary of the key legislative provisions and links to any authoritative guidance as a schedule to the Agreement (see 
                    <internal.reference refid="a887909">Schedule 1</internal.reference>
                    ). Parts 6 and 7 of the DPA 2018 provide further provisions relating to enforcement in the UK. For further information see 
                    <link href="w-005-2487" style="ACTLinkPLCtoPLC">
                      <ital>Practice note, GDPR and DPA 2018: enforcement, sanctions and remedies (UK)</ital>
                    </link>
                    ) and 
                    <link href="https://uk.practicallaw.thomsonreuters.com/Browse/Home/International/DataProtectionGlobalGuide" style="ACTLinkURL">
                      <ital>Data Protection Global Guide</ital>
                    </link>
                    .
                  </paratext>
                </para>
                <para>
                  <paratext>However, as the parties are not generally responsible for breaches by the other party of its own national data protection obligations, there is no absolute commercial need to include an enforceable obligation to comply with national data protection laws that may give rise to contractual liability to the other party in addition to the risk of being subject to enforcement under national data protection laws. Nevertheless, controllers will often insist on such a contractual obligation to be able to show good data stewardship and for reputational purposes.</paratext>
                </para>
                <para>
                  <paratext>
                    This clause uses the definition of Data Protection Legislation, see the options at 
                    <internal.reference refid="a931977">Drafting note, Data Protection Legislation</internal.reference>
                    .
                  </paratext>
                </para>
              </division>
            </drafting.note>
            <subclause1 id="a478442">
              <identifier>3.1</identifier>
              <para>
                <paratext>
                  Each party must ensure compliance with applicable Data Protection Legislation at all times during the Term of this Agreement [as set out in 
                  <internal.reference refid="a887909">Schedule 1</internal.reference>
                  ].
                </paratext>
              </para>
            </subclause1>
            <subclause1 id="a296063">
              <identifier>3.2</identifier>
              <para>
                <paratext>In the event the data protection law or approach to compliance of the UK and [COUNTRY 2] conflict, the requirements of the country that necessitates stricter or additional requirements to protect data subjects' privacy and Shared Personal Data shall be applied.</paratext>
              </para>
              <drafting.note id="a136847" jurisdiction="">
                <head align="left" preservecase="true">
                  <headtext>Conflicting laws or approach to compliance (optional clause)</headtext>
                </head>
                <division id="a000024" level="1">
                  <para>
                    <paratext>
                      Where one of the parties is subject to the 
                      <link href="6-631-1875" style="ACTLinkPLCtoPLC">
                        <ital>EU GDPR</ital>
                      </link>
                      , member states may have interpreted the exemptions and derogations in the EU GDPR into national law in various forms and varying degree of strictness (see 
                      <link href="w-012-6272" style="ACTLinkPLCtoPLC">
                        <ital>Practice note, Overview, GDPR Derogations and Exemptions</ital>
                      </link>
                       and may diverge from the UK, see 
                      <link href="w-014-6104" style="ACTLinkPLCtoPLC">
                        <ital>Practice note, UK GDPR and DPA 2018: exemptions</ital>
                      </link>
                      ).
                    </paratext>
                  </para>
                  <para>
                    <paratext>Supervisory authorities in different countries also publish guidance and may approach methods of compliance in different ways. As such, there will inevitably be instances where data protection laws of the UK and an EU country conflict. In these circumstances, parties may want to agree to adopt the approach that requires stricter compliance and if necessary local legal advice should be sought. This is only necessary as a point of comfort and not law. It should normally be sufficient for each party to comply with their own national laws. The main reason for adopting the strictest data protection standard is the risk of reputational damage.</paratext>
                  </para>
                  <para>
                    <paratext>The EU GDPR attempts to address national approaches and idiosyncrasies by providing for a consistency mechanism, under which supervisory authorities are required to consult with each other on decisions with cross-border implications. In certain cases, supervisory authorities are also required to refer decisions to the European Data Protection Board (EDPB) for approval. However, the UK is not a party to this mechanism.</paratext>
                  </para>
                  <para>
                    <paratext>
                      For further information see 
                      <link anchor="a995720" href="w-013-3757" style="ACTLinkPLCtoPLC">
                        <ital>Practice notes, Overview of UK GDPR: Member state derogations and enactments </ital>
                      </link>
                      and 
                      <link anchor="a571049" href="https://uk.practicallaw.thomsonreuters.com/w-013-3757" style="ACTLinkURL">
                        <ital>Enforcement, sanctions and remedies</ital>
                      </link>
                       and 
                      <link href="http://uk.practicallaw.com/resources/global-guides/dataprotection-guide" style="ACTLinkURL">
                        <ital>Data Protection Global Guide</ital>
                      </link>
                      .
                    </paratext>
                  </para>
                </division>
              </drafting.note>
            </subclause1>
            <subclause1 id="a248902">
              <identifier>3.3</identifier>
              <para>
                <paratext>Each party has such valid registrations [[and] [or] has paid such fees] as are required by the Information Commissioner or its national Supervisory Authority which, by the time that the data sharing is expected to commence, covers the intended data sharing pursuant to this Agreement, unless an exemption applies. The details are as follows:</paratext>
              </para>
              <subclause2 condition="optional" id="a684815">
                <identifier>(a)</identifier>
                <para>
                  <paratext>
                    [Data Discloser], [United Kingdom], [Registration number [NUMBER] 
                    <bold>OR</bold>
                     explain exemption to registration] 
                    <bold>OR </bold>
                    [EVIDENCE OF FEES PAID].
                  </paratext>
                </para>
              </subclause2>
              <subclause2 condition="optional" id="a168140">
                <identifier>(b)</identifier>
                <para>
                  <paratext>
                    [Data Receiver], [COUNTRY], [Registration number [NUMBER] 
                    <bold>OR</bold>
                     explain exemption to registration] 
                    <bold>OR</bold>
                     [EVIDENCE OF FEES PAID].
                  </paratext>
                </para>
              </subclause2>
              <para>
                <paratext>
                  [A copy of each registration OR evidence of fees paid appears at 
                  <internal.reference refid="a536811">Schedule 3</internal.reference>
                   to this Agreement].
                </paratext>
              </para>
              <drafting.note id="a462829" jurisdiction="">
                <head align="left" preservecase="true">
                  <headtext>Registration and fee (optional clause)</headtext>
                </head>
                <division id="a000025" level="1">
                  <para>
                    <paratext>
                      While neither the 
                      <link href="w-027-1020" style="ACTLinkPLCtoPLC">
                        <ital>UK GDPR</ital>
                      </link>
                       nor the 
                      <link href="6-631-1875" style="ACTLinkPLCtoPLC">
                        <ital>EU GDPR</ital>
                      </link>
                       require controllers to register with the Information Commissioner or their national supervisory authority, the 
                      <link href="w-014-9417" style="ACTLinkPLCtoPLC">
                        <ital>DPA 2018</ital>
                      </link>
                       imposes a fee on controllers for their processing activities (
                      <ital>section 137, Part 5, DPA 2018</ital>
                      ). The ICO has published a guide on the fee structure to assist controllers in assessing the fee that they must pay (see 
                      <link href="https://uk.practicallaw.thomsonreuters.com/w-013-2835" style="ACTLinkURL">
                        <ital>Legal update, Draft Data Protection (Charges and Information) Regulations 2018 and guide published</ital>
                      </link>
                      ). The 
                      <link href="w-014-6591" style="ACTLinkPLCtoPLC">
                        <ital>Data Protection (Charges and Information) Regulations 2018 (SI 2018/480) </ital>
                      </link>
                      came into force on 25 May 2018 (see 
                      <link href="https://uk.practicallaw.thomsonreuters.com/w-014-2538" style="ACTLinkURL">
                        <ital>Legal updates, Data Protection (Charges and Information) Regulations made and coming into force on 25 May 2018</ital>
                      </link>
                      <ital> </ital>
                      and 
                      <link href="w-018-1764" style="ACTLinkPLCtoPLC">
                        <ital>Draft Data Protection (Charges and Information) (Amendment) Regulations 2019 published</ital>
                      </link>
                      ). For further information, see 
                      <link anchor="a478010" href="w-013-3757" style="ACTLinkPLCtoPLC">
                        <ital>Practice note, Overview of UK GDPR: Notification and registration</ital>
                      </link>
                      .
                    </paratext>
                  </para>
                  <para>
                    <paratext>It is important for its own compliance, if registration is still required in an EU member state or a fee is payable such as in the UK, that each party's data protection registration or fee reflects and covers the data processing inherent with the data sharing initiative. Failure to do so may, in some jurisdictions, constitute an offence and could lead to a fine or penalty from the applicable supervisory authority.</paratext>
                  </para>
                  <para>
                    <paratext>However, as the parties are not generally responsible for breaches by the other party of its own national data protection obligations, there is no absolute commercial need to include an enforceable obligation to register with the Information Commissioner or other supervisory authority that may give rise to contractual liability to the other party in addition to the risk of being subject to enforcement under national data protection laws. Nevertheless, controllers will often insist on such a contractual obligation to be able to show good data stewardship and for reputational purposes.</paratext>
                  </para>
                  <para>
                    <paratext>
                      In the absence in the UK or EU GDPR of the need to register, or the requirement to pay fees, controllers may prefer to rely on the warranties in 
                      <internal.reference refid="a253666">Clause 15</internal.reference>
                      , to comply with the UK or EU GDPR (which would include the accountability principle).
                    </paratext>
                  </para>
                  <para>
                    <paratext>
                      For further information see 
                      <link anchor="a629071" href="w-013-3757" style="ACTLinkPLCtoPLC">
                        <ital>Practice note, Overview of UK GDPR: Accountability</ital>
                      </link>
                       and 
                      <link href="http://uk.practicallaw.com/resources/global-guides/dataprotection-guide" style="ACTLinkURL">
                        <ital>Data Protection Global Guide</ital>
                      </link>
                      .
                    </paratext>
                  </para>
                </division>
              </drafting.note>
            </subclause1>
          </clause>
          <clause id="a164129">
            <identifier>4.</identifier>
            <head align="left" preservecase="true">
              <headtext>Shared Personal Data</headtext>
            </head>
            <subclause1 id="a720125">
              <identifier>4.1</identifier>
              <para>
                <paratext>The following types of Personal Data will be shared between the parties during the Term of this Agreement:</paratext>
              </para>
              <subclause2 id="a795698">
                <identifier>(a)</identifier>
                <para>
                  <paratext>[Personal Data category 1];</paratext>
                </para>
              </subclause2>
              <subclause2 id="a471228">
                <identifier>(b)</identifier>
                <para>
                  <paratext>[Personal Data category 2]; and</paratext>
                </para>
              </subclause2>
              <subclause2 id="a798646">
                <identifier>(c)</identifier>
                <para>
                  <paratext>[Personal Data category 3];</paratext>
                </para>
              </subclause2>
            </subclause1>
            <subclause1 id="a415186">
              <identifier>4.2</identifier>
              <para>
                <paratext>
                  [Special Categories of Personal Data will not be shared between the parties 
                  <bold>OR</bold>
                   The following types of Special Categories of Personal Data will be shared between the parties during the Term of this Agreement [DELETE AS APPROPRIATE]:
                </paratext>
              </para>
              <subclause2 condition="optional" id="a437607">
                <identifier>(a)</identifier>
                <para>
                  <paratext>Racial or ethnic origin;</paratext>
                </para>
              </subclause2>
              <subclause2 condition="optional" id="a870420">
                <identifier>(b)</identifier>
                <para>
                  <paratext>Political opinions;</paratext>
                </para>
              </subclause2>
              <subclause2 condition="optional" id="a443377">
                <identifier>(c)</identifier>
                <para>
                  <paratext>Religious or philosophical beliefs;</paratext>
                </para>
              </subclause2>
              <subclause2 condition="optional" id="a818154">
                <identifier>(d)</identifier>
                <para>
                  <paratext>Trade-union membership;</paratext>
                </para>
              </subclause2>
              <subclause2 condition="optional" id="a827988">
                <identifier>(e)</identifier>
                <para>
                  <paratext>Genetic or biometric data used to uniquely identify a natural person;</paratext>
                </para>
              </subclause2>
              <subclause2 condition="optional" id="a506133">
                <identifier>(f)</identifier>
                <para>
                  <paratext>Data concerning a natural person's physical or mental health or condition, sex life or sexual orientation.</paratext>
                </para>
                <drafting.note id="a557072" jurisdiction="">
                  <head align="left" preservecase="true">
                    <headtext>Special Categories of Personal Data</headtext>
                  </head>
                  <division id="a000026" level="1">
                    <para>
                      <paratext>
                        Data disclosers must comply with a legitimising condition in Articles 6 and 9 of the UK GDPR.  Special care must be taken when processing special categories of personal data for employment, health or research purposes. Sections 10 and 11 of Part 2, Chapter 2 and Schedule 1, Part 1 of the DPA 2018 implement derogations allowing for the processing of special categories of personal data in relation to employment, health or research. For further information see 
                        <link anchor="a573669" href="w-014-5998" style="ACTLinkPLCtoPLC">
                          <ital>Practice note, Overview of DPA 2018: Special categories of personal data and criminal convictions data</ital>
                        </link>
                        .
                      </paratext>
                    </para>
                    <para>
                      <paratext>
                        In particular, Part 4 of Schedule 1 to the DPA 2018, imposes a requirement on controllers to establish and maintain an "appropriate policy document" when processing is carried out in reliance on a condition in Parts 1, 2 or 3 of Schedule 1. Where Article 9 and 10 personal data are in-scope of the data sharing a controller should involve its data protection officer (if it has one) at the earliest opportunity to assess the proposal and assist in any DPIA undertaken. For an example see 
                        <link href="w-020-7879" style="ACTLinkPLCtoPLC">
                          <ital>Standard document, Appropriate policy document (special categories of personal data and criminal convictions data) (UK)</ital>
                        </link>
                        <ital>.</ital>
                      </paratext>
                    </para>
                    <para>
                      <paratext>
                        The ICO has published guidance on special category personal data (see 
                        <link href="w-022-9109" style="ACTLinkPLCtoPLC">
                          <ital>Legal update, ICO publishes detailed guidance on special category personal data</ital>
                        </link>
                        ).
                      </paratext>
                    </para>
                  </division>
                </drafting.note>
              </subclause2>
            </subclause1>
            <subclause1 id="a535883">
              <identifier>4.3</identifier>
              <para>
                <paratext>
                  [Criminal Offence Data will not be shared between the parties 
                  <bold>OR</bold>
                   Criminal Offence Data will be shared between the parties during the Term of this Agreement].
                </paratext>
              </para>
              <drafting.note id="a169324" jurisdiction="">
                <head align="left" preservecase="true">
                  <headtext>Criminal Offence Data</headtext>
                </head>
                <division id="a000027" level="1">
                  <para>
                    <paratext>
                      Criminal Offence Data is referred to in Article 10 of the 
                      <link href="w-027-1020" style="ACTLinkPLCtoPLC">
                        <ital>UK GDPR</ital>
                      </link>
                       where it states that the processing of personal data relating to criminal convictions and offences or related security measures based on Article 6(1) shall be carried out only under the control of official authority or when the processing is authorised by domestic  law providing for appropriate safeguards for the rights and freedoms of data subjects.
                    </paratext>
                  </para>
                  <para>
                    <paratext>
                      Section 11 of the 
                      <link href="w-014-9417" style="ACTLinkPLCtoPLC">
                        <ital>DPA 2018</ital>
                      </link>
                       supplements Article 10 by specifying that, in the UK, Criminal Offence Data includes personal data relating to:
                    </paratext>
                  </para>
                  <list type="bulleted">
                    <list.item>
                      <para>
                        <paratext>The alleged commission of offences by the data subject.</paratext>
                      </para>
                    </list.item>
                    <list.item>
                      <para>
                        <paratext>Proceedings for an offence committed or alleged to have been committed by the data subject or the disposal of those proceedings, including sentencing.</paratext>
                      </para>
                    </list.item>
                  </list>
                  <para>
                    <paratext>Conditions relating to processing Criminal Offence Data are set out in Parts 1 to 3 of Schedule 1 to the DPA 2018.</paratext>
                  </para>
                  <para>
                    <paratext>For further information see:</paratext>
                  </para>
                  <list type="bulleted">
                    <list.item>
                      <para>
                        <paratext>
                          <link anchor="a691180" href="w-013-3757" style="ACTLinkPLCtoPLC">
                            <ital>Practice note, Overview of UK GDPR: Criminal convictions and offences data</ital>
                          </link>
                          .
                        </paratext>
                      </para>
                    </list.item>
                    <list.item>
                      <para>
                        <paratext>
                          <link href="w-020-7879" style="ACTLinkPLCtoPLC">
                            <ital>Standard document, Appropriate policy document (special categories of personal data and criminal convictions data) (UK)</ital>
                          </link>
                          .
                        </paratext>
                      </para>
                    </list.item>
                  </list>
                </division>
              </drafting.note>
            </subclause1>
            <subclause1 id="a767194">
              <identifier>4.4</identifier>
              <para>
                <paratext>
                  Further detail on the Shared Personal Data as described in 
                  <internal.reference refid="a720125">clause 4.1</internal.reference>
                  , [and 
                  <internal.reference refid="a415186">clause 4.2</internal.reference>
                  ] [and 
                  <internal.reference refid="a535883">clause 4.3</internal.reference>
                  ] is set out in 
                  <internal.reference refid="a644212">Schedule 4</internal.reference>
                   together with any access and processing restrictions as agreed and established by the parties.
                </paratext>
              </para>
            </subclause1>
            <subclause1 id="a909661">
              <identifier>4.5</identifier>
              <para>
                <paratext>The Shared Personal Data must not be irrelevant or excessive with regard to the Agreed Purposes.</paratext>
              </para>
              <drafting.note id="a646348" jurisdiction="">
                <head align="left" preservecase="true">
                  <headtext>Further detail on the Shared Personal Data, access and processing restrictions</headtext>
                </head>
                <division id="a000028" level="1">
                  <para>
                    <paratext>
                      Personal data processed should be accurate, relevant and up to date with regards to the purposes for which it is collected and, in this case, shared. As such, it is essential to list the categories of personal data that may be shared in line with this principle and in line with the purposes identified for the data sharing operation. For further information see 
                      <link anchor="a999119" href="w-013-3757" style="ACTLinkPLCtoPLC">
                        <ital>Practice note, Overview of UK GDPR: Fourth data protection principle: accuracy</ital>
                      </link>
                      .
                    </paratext>
                  </para>
                  <para>
                    <paratext>
                      The purposes for which a controller may process special categories of personal data (
                      <ital>Article 9(1), </ital>
                      <link href="w-027-1020" style="ACTLinkPLCtoPLC">
                        <ital>UK GDPR</ital>
                      </link>
                      ) are very limited and are set out in Article 9(2) of the
                      <ital> </ital>
                      UK GDPR. In addition, a condition in Article 6(1) must be met. A DPIA is likely to be required before sharing special categories of personal data. Processing of personal data relating to criminal offences and convictions is restricted only to public authorities unless otherwise authorised by domestic law (
                      <ital>Article 10, UK GDPR</ital>
                      ). For further information, see 
                      <link anchor="a124217" href="w-013-3757" style="ACTLinkPLCtoPLC">
                        <ital>Practice note, Overview of UK GDPR: Special categories of personal data</ital>
                      </link>
                      , 
                      <link anchor="a691180" href="w-013-3757" style="ACTLinkPLCtoPLC">
                        <ital>Criminal convictions and offences</ital>
                      </link>
                      <ital>,</ital>
                       and 
                      <link anchor="a118538" href="w-013-3757" style="ACTLinkPLCtoPLC">
                        <ital>Data protection impact assessments</ital>
                      </link>
                       and 
                      <link anchor="a573669" href="w-014-5998" style="ACTLinkPLCtoPLC">
                        <ital>Overview of DPA 2018: Special categories of personal data and criminal convictions data</ital>
                      </link>
                      .
                    </paratext>
                  </para>
                  <para>
                    <paratext>
                      Parties should ensure that personal data that is irrelevant or excessive for the Agreed Purposes are not shared. For further information, see 
                      <link anchor="a864356" href="w-013-3757" style="ACTLinkPLCtoPLC">
                        <ital>Practice note, Overview of UK GDPR: Third data protection principle: data minimisation</ital>
                      </link>
                      . Data shared must be limited to the types of personal data listed in the Agreement.
                    </paratext>
                  </para>
                  <para>
                    <paratext>Parties should agree and establish permission requirements to access and process certain categories of the Shared Personal Data so that only certain members of staff (for example, those who have received training or those in certain positions) can have access. This information should be contained in a schedule with further detailed descriptions of the Shared Personal Data if required.</paratext>
                  </para>
                  <para>
                    <paratext>
                      Further detail of the Shared Personal Data can be inserted in 
                      <internal.reference refid="a644212">Schedule 4</internal.reference>
                      .
                    </paratext>
                  </para>
                </division>
              </drafting.note>
            </subclause1>
          </clause>
          <clause id="a830249">
            <identifier>5.</identifier>
            <head align="left" preservecase="true">
              <headtext>Lawful, fair and transparent processing</headtext>
            </head>
            <drafting.note id="a108229" jurisdiction="">
              <head align="left" preservecase="true">
                <headtext>Lawful, fair and transparent processing</headtext>
              </head>
              <division id="a000029" level="1">
                <para>
                  <paratext>
                    When disclosing the personal data, the data discloser must comply with the first data protection principle in the 
                    <link href="w-027-1020" style="ACTLinkPLCtoPLC">
                      <ital>UK GDPR</ital>
                    </link>
                    : personal data must be processed lawfully, fairly and transparently. This requirement also applies under the 
                    <link href="6-631-1875" style="ACTLinkPLCtoPLC">
                      <ital>EU GDPR</ital>
                    </link>
                    . The data receiver, if outside the UK, is therefore likely to be subject to a similar obligation under its own country's national data protection laws when processing the data for its own purposes after disclosure.
                  </paratext>
                </para>
                <para>
                  <paratext>The lawful, fair and transparent processing requirement possibly has the most impact on any data sharing arrangement. The requirement of "fairness" involves providing individuals with information relating to the processing of their personal data, usually by way of a privacy notice. The information includes, for example:</paratext>
                </para>
                <list type="bulleted">
                  <list.item>
                    <para>
                      <paratext>The identity of the controller processing their personal data.</paratext>
                    </para>
                  </list.item>
                  <list.item>
                    <para>
                      <paratext>For what purposes the data will be processed.</paratext>
                    </para>
                  </list.item>
                  <list.item>
                    <para>
                      <paratext>The lawful basis of the processing.</paratext>
                    </para>
                  </list.item>
                  <list.item>
                    <para>
                      <paratext>The legitimate interests of the processing (if applicable).</paratext>
                    </para>
                  </list.item>
                  <list.item>
                    <para>
                      <paratext>How long it will be retained for.</paratext>
                    </para>
                  </list.item>
                  <list.item>
                    <para>
                      <paratext>The contact details of a data protection officer (if there is one).</paratext>
                    </para>
                  </list.item>
                  <list.item>
                    <para>
                      <paratext>The categories of personal data obtained.</paratext>
                    </para>
                  </list.item>
                  <list.item>
                    <para>
                      <paratext>The data subject's rights and their right to withdraw their consent.</paratext>
                    </para>
                  </list.item>
                  <list.item>
                    <para>
                      <paratext>Whether it will be shared with other organisations, and their identities and the name of a nominated representative.</paratext>
                    </para>
                  </list.item>
                </list>
                <para>
                  <paratext>
                    Data subjects must be informed of their rights under the UK GDPR (
                    <ital>Articles 13 and 14, GDPR</ital>
                    ) (see 
                    <internal.reference refid="a974879">clause 5.5</internal.reference>
                     and 
                    <internal.reference refid="a187657">clause 7</internal.reference>
                    )
                    <ital>.</ital>
                     When drafting privacy notices, both parties should bear in mind the second data protection principle, purpose limitation and ensure that the purposes are explained to the data subject (see 
                    <internal.reference refid="a508264">clause 2</internal.reference>
                    ).
                  </paratext>
                </para>
                <para>
                  <paratext>
                    The ICO has published a Privacy Notices Code of Practice (see 
                    <link href="https://ico.org.uk/for-organisations/uk-gdpr-guidance-and-resources/individual-rights/the-right-to-be-informed/" style="ACTLinkURL">
                      <ital>ICO: Privacy notices, transparency and control: A code of practice on communicating privacy information to individuals</ital>
                    </link>
                     and 
                    <link href="w-003-9295" style="ACTLinkPLCtoPLC">
                      <ital>Legal update, ICO publishes updated privacy notices code of practice with GDPR compliance element</ital>
                    </link>
                    ).
                  </paratext>
                </para>
                <para>
                  <paratext>
                    The WP29 has published guidelines on privacy notices (see 
                    <link href="https://ec.europa.eu/newsroom/article29/items/622227/en" style="ACTLinkURL">
                      <ital>Guidelines on transparency (WP 260) under Regulation 2016/679</ital>
                    </link>
                     and 
                    <link href="w-014-2545" style="ACTLinkPLCtoPLC">
                      <ital>Legal update, WP29 publishes final versions of guidelines on consent and transparency</ital>
                    </link>
                    ).  Endorsed by the EDPB.
                  </paratext>
                </para>
                <para>
                  <paratext>The risk of unlawfully disclosing personal data, special category personal data or criminal offence data lies with the disclosing controller. The data discloser must therefore ensure that when disclosing data these provisions are complied with in relation to the following types of data:</paratext>
                </para>
                <list type="bulleted">
                  <list.item>
                    <para>
                      <paratext>Personal data, it complies with one of the legal grounds in Article 6 of the UK GDPR.</paratext>
                    </para>
                  </list.item>
                  <list.item>
                    <para>
                      <paratext>
                        Special categories of personal data, it complies with one of the legal grounds in Articles 6 and 9(2) of the UK GDPR.  For more information see 
                        <internal.reference refid="a557072">Drafting note, Special categories of personal data</internal.reference>
                        .
                      </paratext>
                    </para>
                  </list.item>
                  <list.item>
                    <para>
                      <paratext>
                        Criminal offence data, it must have a lawful basis under Article 6 and either legal authority or official authority for the processing under Article 10 of the UK GDPR. The 
                        <link href="w-014-9417" style="ACTLinkPLCtoPLC">
                          <ital>DPA 2018</ital>
                        </link>
                         deals with this type of data in a similar way to special categories of personal data, and includes provisions setting out specific conditions that provide legal authority for processing it in 
                        <link href="https://uk.practicallaw.thomsonreuters.com/w-014-9758?originationContext=document&amp;amp;transitionType=PLDocumentLink&amp;amp;contextData=(sc.Default)" style="ACTLinkURL">
                          <ital>section 10</ital>
                        </link>
                         and 
                        <link href="https://uk.practicallaw.thomsonreuters.com/w-014-9853?originationContext=document&amp;amp;transitionType=PLDocumentLink&amp;amp;contextData=(sc.Default)" style="ACTLinkURL">
                          <ital>Parts 1, 2 and 3</ital>
                        </link>
                         of 
                        <link href="https://uk.practicallaw.thomsonreuters.com/w-016-9306?originationContext=document&amp;amp;transitionType=PLDocumentLink&amp;amp;contextData=(sc.Default)" style="ACTLinkURL">
                          <ital>Schedule 1</ital>
                        </link>
                         and 
                        <link href="https://uk.practicallaw.thomsonreuters.com/w-014-9765?originationContext=document&amp;amp;transitionType=PLDocumentLink&amp;amp;contextData=(sc.Default)" style="ACTLinkURL">
                          <ital>section 11(2)</ital>
                        </link>
                        .  For more information see 
                        <internal.reference refid="a169324">Drafting note, Criminal Offence Data</internal.reference>
                        .
                      </paratext>
                    </para>
                  </list.item>
                </list>
                <para>
                  <paratext>
                    It is preferable not to rely on a data subject's consent for data sharing as it can be withdrawn (
                    <ital>Article 7(2), UK GDPR</ital>
                    ).  But, if data subject consent is used as the legal basis for the disclosure, the Agreement should also provide a model consent form at 
                    <internal.reference refid="a870715">Schedule 5</internal.reference>
                    . It should also address issues surrounding the withholding or retraction of consent.  For further information see:
                  </paratext>
                </para>
                <list type="bulleted">
                  <list.item>
                    <para>
                      <paratext>
                        <link anchor="a535441" href="w-013-3757" style="ACTLinkPLCtoPLC">
                          <ital>Practice note, Overview of UK GDPR: Consent rules</ital>
                        </link>
                        .
                      </paratext>
                    </para>
                  </list.item>
                  <list.item>
                    <para>
                      <paratext>
                        <link href="https://ico.org.uk/for-organisations/uk-gdpr-guidance-and-resources/lawful-basis/consent/" style="ACTLinkURL">
                          <ital>ICO: Detailed guidance on consent</ital>
                        </link>
                         and 
                        <link href="w-014-6938" style="ACTLinkPLCtoPLC">
                          <ital>Legal update, ICO publishes final version of consent guidance</ital>
                        </link>
                        .
                      </paratext>
                    </para>
                  </list.item>
                  <list.item>
                    <para>
                      <paratext>
                        <link href="https://edpb.europa.eu/our-work-tools/our-documents/guidelines/guidelines-052020-consent-under-regulation-2016679_en" style="ACTLinkURL">
                          <ital>EDPB: Guidelines 05/2020 on consent under Regulation 2016/679</ital>
                        </link>
                         and 
                        <link href="w-025-4791" style="ACTLinkPLCtoPLC">
                          <ital>Legal update, EDPB updates guidelines on consent</ital>
                        </link>
                        .
                      </paratext>
                    </para>
                  </list.item>
                </list>
                <para>
                  <paratext>
                    Controllers should consider other legal bases to permit the processing, such as their legitimate interest in disclosure (see 
                    <link anchor="a422270" href="w-013-3757" style="ACTLinkPLCtoPLC">
                      <ital>Practice note, Overview of UK GDPR: Lawful processing</ital>
                    </link>
                    ). If this legal basis is relied upon the disclosing controller must:
                  </paratext>
                </para>
                <list type="bulleted">
                  <list.item>
                    <para>
                      <paratext>Identify a legitimate interest.</paratext>
                    </para>
                  </list.item>
                  <list.item>
                    <para>
                      <paratext>Show that the processing is necessary to achieve it.</paratext>
                    </para>
                  </list.item>
                  <list.item>
                    <para>
                      <paratext>Balance it against the data subject's interests, rights and freedoms.</paratext>
                    </para>
                  </list.item>
                </list>
                <para>
                  <paratext>
                    They should also keep a record of this to help demonstrate compliance. The ICO has published guidance on legitimate interests (see 
                    <link href="https://ico.org.uk/for-organisations/uk-gdpr-guidance-and-resources/lawful-basis/legitimate-interests/" style="ACTLinkURL">
                      <ital>ICO: guidance on legitimate interest</ital>
                    </link>
                     and 
                    <link href="w-013-9484" style="ACTLinkPLCtoPLC">
                      <ital>Legal update, ICO publishes guidance on legitimate interests</ital>
                    </link>
                    ).). The WP29 has published an opinion on legitimate interests, which although it is based on the Data Protection Directive is still helpful (see 
                    <link href="1-565-4287" style="ACTLinkPLCtoPLC">
                      <ital>Legal update, Article 29 Working Party publishes opinion on legitimate interest condition</ital>
                    </link>
                    ).
                  </paratext>
                </para>
                <para>
                  <paratext>
                    The DPA 2018 introduces more specific provisions to adapt the application of the UK GDPR in relation to Articles 6(1)(c) (compliance with a legal obligation to the which the controller is subject) and 6(1)(e) (performance of a task in the public interest) (see section 8, Part 2, Chapter 2, DPA 2018). The same applies under Article 6 of the EU GDPR so that member states can maintain or introduce more specific provisions. This could enable member states to enact different requirements (both procedural and possibly substantive). Controllers should therefore check what provisions the UK and member states have introduced when relying on either of these legal bases to process personal data (see 
                    <link anchor="a830059" href="w-013-3757" style="ACTLinkPLCtoPLC">
                      <ital>Practice note, Overview of UK GDPR: Lawful processing and legal basis for processing</ital>
                    </link>
                    ).
                  </paratext>
                </para>
                <para>
                  <paratext>For further information see:</paratext>
                </para>
                <list type="bulleted">
                  <list.item>
                    <para>
                      <paratext>
                        <link anchor="a226829" href="w-013-3757" style="ACTLinkPLCtoPLC">
                          <ital>Practice note, Overview of UK GDPR: Lawfulness, fairness and transparency</ital>
                        </link>
                        <ital>.</ital>
                      </paratext>
                    </para>
                  </list.item>
                  <list.item>
                    <para>
                      <paratext>
                        <link anchor="a544644" href="w-018-8492" style="ACTLinkPLCtoPLC">
                          <ital>Practice note, Overview of data sharing arrangements (GDPR and DPA 2018) (UK): Fair, transparent and lawful processing</ital>
                        </link>
                        .
                      </paratext>
                    </para>
                  </list.item>
                  <list.item>
                    <para>
                      <paratext>
                        <link href="http://uk.practicallaw.com/resources/global-guides/dataprotection-guide" style="ACTLinkURL">
                          <ital>Data protection Global Guide</ital>
                        </link>
                        .
                      </paratext>
                    </para>
                  </list.item>
                </list>
              </division>
            </drafting.note>
            <subclause1 id="a754701">
              <identifier>5.1</identifier>
              <para>
                <paratext>
                  Each party shall ensure that it Processes the Shared Personal Data fairly and lawfully in accordance with 
                  <internal.reference refid="a656048">clause 5.2</internal.reference>
                   during the Term of this Agreement.
                </paratext>
              </para>
            </subclause1>
            <subclause1 id="a656048">
              <identifier>5.2</identifier>
              <para>
                <paratext>
                  Each party shall ensure that it has legitimate grounds under the Data Protection Legislation for the Processing of Shared Personal Data [and where the legitimate ground relied on is consent, an example of the Data Subject’s signed consent form is attached as 
                  <internal.reference refid="a870715">Schedule 5</internal.reference>
                  ].
                </paratext>
              </para>
            </subclause1>
            <subclause1 id="a150904">
              <identifier>5.3</identifier>
              <para>
                <paratext>The parties each agree to provide such assistance as is reasonably required to enable the other party to comply with Subject Rights Requests within the time limits imposed by the Data Protection Legislation.</paratext>
              </para>
            </subclause1>
            <subclause1 condition="optional" id="a833182">
              <identifier>5.4</identifier>
              <para>
                <paratext>The Data Discloser shall, in respect of Shared Personal Data, ensure that it provides clear and sufficient information to the Data Subjects, in accordance with the Data Protection Legislation, of the purposes for which it will process their Personal Data, the legal basis for such purposes and such other information as is required by the Data Protection Legislation including:</paratext>
              </para>
              <subclause2 id="a753082">
                <identifier>(a)</identifier>
                <para>
                  <paratext>if Shared Personal Data will be transferred to a third party, that fact and sufficient information about such transfer and the purpose of such transfer to enable the Data Subject to understand the purpose and risks of such transfer; and</paratext>
                </para>
              </subclause2>
              <subclause2 condition="optional" id="a263472">
                <identifier>(b)</identifier>
                <para>
                  <paratext>
                    if Shared Personal Data will be transferred outside the UK [or EEA] pursuant to 
                    <internal.reference refid="a971192">clause 9.3</internal.reference>
                     of this Agreement, that fact and sufficient information about such transfer, the purpose of such transfer and the safeguards put in place by the Controller to enable the Data Subject to understand the purpose and risks of such transfer.
                  </paratext>
                </para>
              </subclause2>
            </subclause1>
            <subclause1 condition="optional" id="a974879">
              <identifier>5.5</identifier>
              <para>
                <paratext>The Data Receiver undertakes to inform the Data Subjects, in accordance with the Data Protection Legislation, of the purposes for which it will process their Personal Data, the legal basis for such purposes and such other information as is required by the Data Protection Legislation including:</paratext>
              </para>
              <subclause2 condition="optional" id="a352262">
                <identifier>(a)</identifier>
                <para>
                  <paratext>if Shared Personal Data will be transferred to a third party, that fact and sufficient information about such transfer and the purpose of such transfer to enable the Data Subject to understand the purpose and risks of such transfer; and</paratext>
                </para>
              </subclause2>
              <subclause2 id="a994483">
                <identifier>(b)</identifier>
                <para>
                  <paratext>
                    if Shared Personal Data will be transferred outside the UK [or EEA] pursuant to 
                    <internal.reference refid="a946998">clause 9</internal.reference>
                     of this Agreement, that fact and sufficient information about such transfer, the purpose of such transfer and the safeguards put in place by the Controller to enable the Data Subject to understand the purpose and risks of such transfer.
                  </paratext>
                </para>
                <drafting.note id="a837485" jurisdiction="">
                  <head align="left" preservecase="true">
                    <headtext>Data Discloser and Data Receiver's privacy notices (optional clauses)</headtext>
                  </head>
                  <division id="a000030" level="1">
                    <para>
                      <paratext>
                        <internal.reference refid="a150904">Clause 5.3</internal.reference>
                         and 
                        <internal.reference refid="a974879">clause 5.5</internal.reference>
                         are optional. The parties will each have their own responsibilities in relation to the Shared Personal Data. The data receiver should ensure that it immediately complies with its own obligations and inform the data subjects in compliance with the requirements of its own national law. A failure to do so will result in the data receiver's non-compliance, not the discloser's. Statutory sanctions for failure to comply may be significant and it is a commercial decision for the parties about the level of comfort each party requires, as to whether to include a contractual liability for failure to inform the data subjects. Bearing in mind that each party may face some reputational damage for a failure by the other party, the parties may prefer to include such a requirement in the Agreement. For further information see 
                        <internal.reference refid="a108229">Drafting note, Lawful, fair and transparent processing</internal.reference>
                         and 
                        <link href="http://uk.practicallaw.com/resources/global-guides/dataprotection-guide" style="ACTLinkURL">
                          <ital>Data Protection Global Guide</ital>
                        </link>
                        .
                      </paratext>
                    </para>
                    <para>
                      <paratext>
                        The data discloser should not need to update its privacy notice as it will have provided the fair processing information at the time of data collection, explaining who it will share personal data with and for what purposes. If the data sharing was not envisaged at the time the personal data was collected, any further processing will only be permitted if the second principle can be satisfied or when new privacy notices have been actively provided and perhaps consents have been sought. For further information, see 
                        <internal.reference refid="a665474">Drafting note, Purpose limitation</internal.reference>
                        .
                      </paratext>
                    </para>
                  </division>
                </drafting.note>
              </subclause2>
            </subclause1>
          </clause>
          <clause id="a426835">
            <identifier>6.</identifier>
            <head align="left" preservecase="true">
              <headtext>Data quality</headtext>
            </head>
            <drafting.note id="a510344" jurisdiction="">
              <head align="left" preservecase="true">
                <headtext>Data quality</headtext>
              </head>
              <division id="a000031" level="1">
                <para>
                  <paratext>
                    The third data protection principle requires that personal data must be adequate, relevant and not excessive in relation to the purposes for which it is processed (
                    <ital>Article 5(c),</ital>
                    <link href="w-027-1020" style="ACTLinkPLCtoPLC">
                      <ital>UK GDPR</ital>
                    </link>
                    ) (see 
                    <link anchor="a864356" href="w-013-3757" style="ACTLinkPLCtoPLC">
                      <ital>Practice note, Overview of UK GDPR: Third data protection principle: data minimisation</ital>
                    </link>
                    ).
                  </paratext>
                </para>
                <para>
                  <paratext>
                    The fourth data protection principle requires personal data to be accurate and where necessary, kept up to date (
                    <ital>Article 5(d), UK GDPR</ital>
                    ) (see 
                    <link anchor="a999119" href="w-013-3757" style="ACTLinkPLCtoPLC">
                      <ital>Practice note, Overview of UK GDPR: Fourth data protection principle: accuracy</ital>
                    </link>
                    ).
                  </paratext>
                </para>
                <para>
                  <paratext>Together, these two principles safeguard and maintain the quality of the personal data being processed.</paratext>
                </para>
                <para>
                  <paratext>As this is a one-way disclosure, most of the obligations to comply will be placed on the data discloser. The parties should have procedures in place for dealing with disputes as to whether the personal data disclosed is accurate.</paratext>
                </para>
                <para>
                  <paratext>
                    For more information see 
                    <link anchor="a772737" href="w-018-8492" style="ACTLinkPLCtoPLC">
                      <ital>Practice note, Overview of data sharing arrangements (GDPR and DPA 2018) (Data standards)</ital>
                    </link>
                    .
                  </paratext>
                </para>
              </division>
            </drafting.note>
            <subclause1 condition="optional" id="a392854">
              <identifier>6.1</identifier>
              <para>
                <paratext>
                  [The parties agree to use compatible datasets and to record all Shared Personal Data using the same methods as set out in 
                  <internal.reference refid="a855934">Schedule 6</internal.reference>
                  <bold>OR</bold>
                   The parties have developed a reliable means of converting Shared Personal Data to ensure compatibility with each party's respective datasets as set out in 
                  <internal.reference refid="a855934">Schedule 6</internal.reference>
                  .]
                </paratext>
              </para>
              <drafting.note id="a254761" jurisdiction="">
                <head align="left" preservecase="true">
                  <headtext>Compatible datasets (optional clause)</headtext>
                </head>
                <division id="a000032" level="1">
                  <para>
                    <paratext>
                      <internal.reference refid="a392854">Clause 6.1</internal.reference>
                       is optional. Parties will typically have different methods of collecting and recording personal data. As a result, datasets held by each party may not always be compatible with each other for sharing purposes. This could compromise the quality of the data by corruption when shared or by causing inaccuracies.
                    </paratext>
                  </para>
                  <para>
                    <paratext>It is therefore important that before any data sharing commences, parties ensure that compatible datasets are being used and that they are recording data in the same manner. If appropriate, the Agreement could set out examples of how certain types of personal data should be recorded.</paratext>
                  </para>
                  <para>
                    <paratext>If parties cannot agree or establish a common standard for recording personal data, they should develop a reliable means of converting it to ensure compatibility.</paratext>
                  </para>
                </division>
              </drafting.note>
            </subclause1>
            <subclause1 id="a499393">
              <identifier>6.2</identifier>
              <para>
                <paratext>The Data Discloser shall ensure that before the Commencement Date, Shared Personal Data is accurate and that it has appropriate internal procedures in place for the Data Receiver to sample Shared Personal Data prior to the Commencement Date and it will update the same if required prior to transferring the Shared Personal Data.</paratext>
              </para>
              <drafting.note id="a161554" jurisdiction="">
                <head align="left" preservecase="true">
                  <headtext>Accurate and up to date</headtext>
                </head>
                <division id="a000033" level="1">
                  <para>
                    <paratext>It is important to ensure that the personal data is accurate before the data discloser shares it with the data receiver. The data discloser should always be clear about how accurate they believe their data is or they may place themselves at great risk both in terms of breaching their duties to a data subject and any duties they have to the data receiver. The data receiver will be concerned with checking and ensuring that the data is accurate and up to date before they receive it. The data receiver is likely to want a warranty that the data is accurate and up to date before transfer. If the data discloser is required to provide a sample of the Shared Personal Data before the commencement date for testing purposes, it is important to note that, if the sample contains personal data, this will trigger all the rules on personal data sharing, including the requirement to have a data sharing agreement in place covering the testing phase. Ideally, if there is a testing or pilot phase before the entry into force of the data sharing agreement, the sample should comprise solely non-personal data (known as "dummy data").</paratext>
                  </para>
                  <para>
                    <paratext>Once shared, it will generally be more difficult to amend the personal data concerned, particularly if it is then further processed by a third party. The parties should therefore ensure they check the accuracy of personal data before data sharing commences and each time new personal data is added to the data sharing database. Extra care should be taken with special categories of personal data.</paratext>
                  </para>
                  <para>
                    <paratext>In any event, there should also be procedures in place to update personal data being shared if found to be inaccurate or if the data subject provides updated personal information. If the personal data is intended for ongoing use, then it could be necessary for all organisations holding it to amend it. To ensure personal data is captured, recorded then shared accurately, it is good practice to sample records periodically to ensure personal data is accurate and kept up to date.</paratext>
                  </para>
                  <para>
                    <paratext>
                      For further information see 
                      <link anchor="a772737" href="w-018-8492" style="ACTLinkPLCtoPLC">
                        <ital>Practice note, Overview of data sharing arrangements (GDPR and DPA 2018) (Data standards)</ital>
                      </link>
                      .
                    </paratext>
                  </para>
                </division>
              </drafting.note>
            </subclause1>
            <subclause1 id="a298274">
              <identifier>6.3</identifier>
              <para>
                <paratext>
                  Shared Personal Data must be limited to the Personal Data described in [
                  <internal.reference refid="a720125">clause 4.1</internal.reference>
                  ] [and 
                  <internal.reference refid="a415186">clause 4.2</internal.reference>
                  ] [and 
                  <internal.reference refid="a535883">clause 4.3</internal.reference>
                  ] [and 
                  <internal.reference refid="a644212">Schedule 4</internal.reference>
                  ] of this Agreement.
                </paratext>
              </para>
            </subclause1>
          </clause>
          <clause id="a187657">
            <identifier>7.</identifier>
            <head align="left" preservecase="true">
              <headtext>Data subjects' rights</headtext>
            </head>
            <drafting.note id="a881372" jurisdiction="">
              <head align="left" preservecase="true">
                <headtext>Data subjects' rights</headtext>
              </head>
              <division id="a000034" level="1">
                <para>
                  <paratext>
                    Chapter III (
                    <ital>Articles 12-22</ital>
                    ) of the 
                    <link href="w-027-1020" style="ACTLinkPLCtoPLC">
                      <ital>UK GDPR</ital>
                    </link>
                     provides data subjects with rights to obtain certain information and actions on the processing of their personal data from the controller.
                  </paratext>
                </para>
                <para>
                  <paratext>
                    The Agreement will involve at least two controllers. The Agreement should ensure that each party appoints a single point of contact (this could be the 
                    <link href="w-014-8177" style="ACTLinkPLCtoPLC">
                      <ital>data protection officer</ital>
                    </link>
                    , if there is one) who takes overall responsibility for ensuring that the data subject can gain access to their personal data and exercise their rights, as applicable of rectification, erasure, restriction and portability under the UK GDPR. It may be helpful if the Agreement provides a broad outline of the types of data the parties will normally release in response to such request, possibly in the form of a flow chart and attach this as a schedule at 
                    <internal.reference refid="a725003">Schedule 7</internal.reference>
                    .
                  </paratext>
                </para>
                <para>
                  <paratext>
                    The UK GDPR contains derogations in relation to a number of rights of data subjects and controllers should be aware that the 
                    <link href="w-014-9417" style="ACTLinkPLCtoPLC">
                      <ital>DPA 2018</ital>
                    </link>
                     includes certain derogations (and under the 
                    <link href="6-631-1875" style="ACTLinkPLCtoPLC">
                      <ital>EU GDPR</ital>
                    </link>
                    , member states' national laws may vary where the derogations are applied), for example:
                  </paratext>
                </para>
                <list type="bulleted">
                  <list.item>
                    <para>
                      <paratext>
                        The right to erasure (Article 17, UK GDPR) (see 
                        <link anchor="a622338" href="w-024-3178" style="ACTLinkPLCtoPLC">
                          <ital>Practice note, Data subject rights (UK): Personal data erasure right ("right to be forgotten")</ital>
                        </link>
                        ).
                      </paratext>
                    </para>
                  </list.item>
                  <list.item>
                    <para>
                      <paratext>
                        The right not to be subject to a decision based solely on automated processing, including profiling (Article 22 UK GDPR and section 14, Part 2, Chapter 2 of the DPA 2018).  For further information see 
                        <link anchor="a579161" href="w-024-3178" style="ACTLinkPLCtoPLC">
                          <ital>Practice note, Data subject rights (UK): Automated decision-making objection right</ital>
                        </link>
                        .
                      </paratext>
                    </para>
                  </list.item>
                  <list.item>
                    <para>
                      <paratext>Section 13, Part 2, Chapter 2 of the DPA 2018 contains special provisions regulating data held by credit reference agencies.</paratext>
                    </para>
                  </list.item>
                  <list.item>
                    <para>
                      <paratext>
                        The DPA 2018 contains various exemptions in relation to the right of data subject access (see 
                        <link anchor="a628402" href="w-024-3178" style="ACTLinkPLCtoPLC">
                          <ital>Practice note, Data subject rights (UK): Personal data access right</ital>
                        </link>
                        ).
                      </paratext>
                    </para>
                  </list.item>
                </list>
                <para>
                  <paratext>For further information, see practice notes:</paratext>
                </para>
                <list type="bulleted">
                  <list.item>
                    <para>
                      <paratext>
                        <link anchor="a324889" href="w-013-3757" style="ACTLinkPLCtoPLC">
                          <ital>Overview of UK GDPR: Rights of the data subject</ital>
                        </link>
                        .
                      </paratext>
                    </para>
                  </list.item>
                  <list.item>
                    <para>
                      <paratext>
                        <link href="w-014-6104" style="ACTLinkPLCtoPLC">
                          <ital>UK GDPR and DPA 2018: exemptions</ital>
                        </link>
                        .
                      </paratext>
                    </para>
                  </list.item>
                  <list.item>
                    <para>
                      <paratext>
                        <link href="w-024-3178" style="ACTLinkPLCtoPLC">
                          <ital>Data subject rights (UK))</ital>
                        </link>
                        .
                      </paratext>
                    </para>
                  </list.item>
                  <list.item>
                    <para>
                      <paratext>
                        <link href="w-019-9092" style="ACTLinkPLCtoPLC">
                          <ital>Handling data subject requests toolkit (UK)</ital>
                        </link>
                        .
                      </paratext>
                    </para>
                  </list.item>
                </list>
              </division>
            </drafting.note>
            <subclause1 id="a257445">
              <identifier>7.1</identifier>
              <para>
                <paratext>
                  The SPoC for each party is responsible for maintaining a record of Subject Rights Requests, the decisions made and any information that was exchanged. Records must include copies of the request for information, details of the data accessed and shared and where relevant, notes of any meeting, correspondence or phone calls relating to the request. The SPoC for each party are detailed in 
                  <internal.reference refid="a832968">clause 2.4</internal.reference>
                  .
                </paratext>
              </para>
            </subclause1>
          </clause>
          <clause id="a851758">
            <identifier>8.</identifier>
            <head align="left" preservecase="true">
              <headtext>Data retention and deletion</headtext>
            </head>
            <drafting.note id="a550265" jurisdiction="">
              <head align="left" preservecase="true">
                <headtext>Data retention and deletion</headtext>
              </head>
              <division id="a000035" level="1">
                <para>
                  <paratext>
                    The fifth data protection principle states that personal data processed for any purpose or purposes shall not be kept for longer than is necessary for that purpose or those purposes (
                    <ital>Article 5(e), UK GDP</ital>
                    R) (see 
                    <link anchor="a783302" href="w-013-3757" style="ACTLinkPLCtoPLC">
                      <ital>Practice note, Overview of UK GDPR: Storage limitation</ital>
                    </link>
                    .
                  </paratext>
                </para>
                <para>
                  <paratext>The Agreement should address practical problems that may arise when sharing the personal data. For example:</paratext>
                </para>
                <list type="bulleted">
                  <list.item>
                    <para>
                      <paratext>When the personal data shared is no longer needed for the purposes for which it was shared, the data receiver should take steps to delete the shared personal data.</paratext>
                    </para>
                  </list.item>
                  <list.item>
                    <para>
                      <paratext>Personal data contained electronically should be deleted and a formal note of the deletion should be sent once the need for sharing ceases.</paratext>
                    </para>
                  </list.item>
                  <list.item>
                    <para>
                      <paratext>Paper records should be securely deleted, destroyed or returned to the data receiver they came from once the need for sharing ceases.</paratext>
                    </para>
                  </list.item>
                  <list.item>
                    <para>
                      <paratext>The parties that originally collected the personal data may retain it for another legitimate purpose.</paratext>
                    </para>
                  </list.item>
                  <list.item>
                    <para>
                      <paratext>Personal data should be deleted subject to any statutory provisions to the contrary and to any archiving policies.</paratext>
                    </para>
                  </list.item>
                </list>
                <para>
                  <paratext>For further information see:</paratext>
                </para>
                <list type="bulleted">
                  <list.item>
                    <para>
                      <paratext>
                        <link href="w-014-7851" style="ACTLinkPLCtoPLC">
                          <ital>Practice note, Data retention policies (UK)</ital>
                        </link>
                        .
                      </paratext>
                    </para>
                  </list.item>
                  <list.item>
                    <para>
                      <paratext>
                        <link href="w-014-8509" style="ACTLinkPLCtoPLC">
                          <ital>Standard document, Data retention policy (UK)</ital>
                        </link>
                        .
                      </paratext>
                    </para>
                  </list.item>
                  <list.item>
                    <para>
                      <paratext>
                        <link href="w-014-8024" style="ACTLinkPLCtoPLC">
                          <ital>Checklist, Data retention policies (UK)</ital>
                        </link>
                        .
                      </paratext>
                    </para>
                  </list.item>
                  <list.item>
                    <para>
                      <paratext>
                        <link href="w-022-9118" style="ACTLinkPLCtoPLC">
                          <ital>Standard document, Data retention schedule for personal data .</ital>
                        </link>
                      </paratext>
                    </para>
                  </list.item>
                </list>
              </division>
            </drafting.note>
            <subclause1 id="a464796">
              <identifier>8.1</identifier>
              <para>
                <paratext>The Data Receiver shall not retain or process Shared Personal Data for longer than is necessary to carry out the Agreed Purpose.</paratext>
              </para>
            </subclause1>
            <subclause1 id="a427996">
              <identifier>8.2</identifier>
              <para>
                <paratext>
                  Notwithstanding 
                  <internal.reference refid="a464796">clause 8.1</internal.reference>
                  , parties shall continue to retain Shared Personal Data in accordance with any statutory or professional retention periods applicable in their respective countries and / or industry.
                </paratext>
              </para>
            </subclause1>
            <subclause1 id="a730569">
              <identifier>8.3</identifier>
              <para>
                <paratext>
                  The Data Receiver shall ensure that any Shared Personal Data is returned to the Data Discloser or destroyed in accordance with the agreed Deletion Procedure set out in 
                  <internal.reference refid="a676184">Schedule 8</internal.reference>
                   in the following circumstances:
                </paratext>
              </para>
              <subclause2 id="a297073">
                <identifier>(a)</identifier>
                <para>
                  <paratext>on termination of its involvement in this Agreement;</paratext>
                </para>
              </subclause2>
              <subclause2 id="a386422">
                <identifier>(b)</identifier>
                <para>
                  <paratext>on expiry of the Term of this Agreement; or</paratext>
                </para>
              </subclause2>
              <subclause2 id="a474586">
                <identifier>(c)</identifier>
                <para>
                  <paratext>
                    once Processing of the Shared Personal Data is no longer necessary for the purposes it was originally shared for, as set out in 
                    <internal.reference refid="a601079">clause 2.3</internal.reference>
                    .
                  </paratext>
                </para>
              </subclause2>
            </subclause1>
            <subclause1 id="a416690">
              <identifier>8.4</identifier>
              <para>
                <paratext>
                  Following the deletion of Shared Personal Data in accordance with 
                  <internal.reference refid="a730569">clause 8.3</internal.reference>
                  , the Data Receiver shall notify the Data Discloser that the Shared Personal Data in question has been deleted in accordance with the Deletion Procedure in 
                  <internal.reference refid="a676184">Schedule 8</internal.reference>
                   to this Agreement.
                </paratext>
              </para>
            </subclause1>
          </clause>
          <clause id="a946998">
            <identifier>9.</identifier>
            <head align="left" preservecase="true">
              <headtext>Transfers</headtext>
            </head>
            <drafting.note id="a584150" jurisdiction="">
              <head align="left" preservecase="true">
                <headtext>Transfers</headtext>
              </head>
              <division id="a000036" level="1">
                <division id="a306568" level="2">
                  <head align="left" preservecase="true">
                    <headtext>Security</headtext>
                  </head>
                  <para>
                    <paratext>When establishing appropriate and secure methods of transfer, parties should take into account the nature and sensitivity of the Shared Personal Data.</paratext>
                  </para>
                  <para>
                    <paratext>These secure methods should deal with both electronic and physical transfers. For example, for physical transfers, ensuring memory sticks are always encrypted with the password sent separately via email.</paratext>
                  </para>
                  <para>
                    <paratext>For electronic transfers, ensuring spreadsheets containing special category personal data are password protected. It may also be appropriate to ensure that emails containing shared personal data are only transferred through secured networks.</paratext>
                  </para>
                  <para>
                    <paratext>This area can be quite technical and it is advisable that the respective party's IT representative is involved in order to set out the methods of transfer in more detail and to ensure all parties have the IT capabilities to implement the same in practice.</paratext>
                  </para>
                </division>
                <division id="a778359" level="2">
                  <head align="left" preservecase="true">
                    <headtext>Transfers to a processor</headtext>
                  </head>
                  <para>
                    <paratext>
                      If the data receiver wishes to appoint a processor to process the Shared Personal Data on its behalf, the receiving controller shall use only processors providing sufficient guarantees to implement appropriate technical and organisational measures to protect the rights of data subjects (
                      <ital>Article 28(2), </ital>
                      <link href="w-027-1020" style="ACTLinkPLCtoPLC">
                        <ital>UK GDPR</ital>
                      </link>
                      ) and must enter into a contract with the processor that covers the subject matter and duration of the processing, the type of personal data and categories of data subject and the specific obligations of the processor set out in section 3 of Article 28 of the UK GDPR. The ICO has published guidance on contracts and liabilities (see 
                      <link href="https://ico.org.uk/for-organisations/uk-gdpr-guidance-and-resources/accountability-and-governance/contracts-and-liabilities-between-controllers-and-processors-multi/" style="ACTLinkURL">
                        <ital>ICO guidance: Contracts and liabilities between controllers and processors</ital>
                      </link>
                      ).
                    </paratext>
                  </para>
                  <para>
                    <paratext>
                      The European Commission has adopted SCCs between controllers and processors under Article 28(7) of the EU GDPR and Article 29(7) of the Regulation on the processing of personal data by EU institutions, bodies, offices and agencies ((EU) 2018/1725).  The SCCs came into force on 27 June 2021 and can be used for personal data transfers within the EEA.  Although they are not valid under the UK GDPR, they may nevertheless be of interest (see 
                      <link href="w-031-2777" style="ACTLinkPLCtoPLC">
                        <ital>Legal update, European Commission adopts final versions of standard contractual clauses under EU GDPR</ital>
                      </link>
                      ).
                    </paratext>
                  </para>
                  <para>
                    <paratext>For further information on developments that are relevant to controller procesor agreements under Article 28 of the UK GDPR and EU GDPR see:</paratext>
                  </para>
                  <list type="bulleted">
                    <list.item>
                      <para>
                        <paratext>
                          <link href="w-027-8411" style="ACTLinkPLCtoPLC">
                            <ital>Standard clauses, data processing clauses (UK</ital>
                          </link>
                          <ital>)</ital>
                          .
                        </paratext>
                      </para>
                    </list.item>
                    <list.item>
                      <para>
                        <paratext>
                          <link href="w-035-0675" style="ACTLinkPLCtoPLC">
                            <ital>Standard Contractual Clauses between Controllers and Processors Under GDPR Article 28(7)</ital>
                          </link>
                          .
                        </paratext>
                      </para>
                    </list.item>
                    <list.item>
                      <para>
                        <paratext>
                          <link href="w-031-6914" style="ACTLinkPLCtoPLC">
                            <ital>Article, Key takeaways from European Commission's Article 28 Standard Contractual Clauses</ital>
                          </link>
                          .
                        </paratext>
                      </para>
                    </list.item>
                  </list>
                  <para>
                    <paratext>
                      See also, 
                      <internal.reference refid="a513514">Drafting note, Processors</internal.reference>
                      <ital> </ital>
                      and 
                      <internal.reference refid="a821134">Drafting note, ICO International Data Transfer Agreement (IDTA) and addendum to EU standard contractual clauses (EU SCCs) under UK GDPR</internal.reference>
                      .
                    </paratext>
                  </para>
                </division>
                <division id="a887173" level="2">
                  <head align="left" preservecase="true">
                    <headtext>Transfers from the UK to third countries under UK GDPR</headtext>
                  </head>
                  <para>
                    <paratext>If personal data will be transferred outside the UK, either to another controller or to a processor, it is the controller's responsibility to ensure that Chapter V of the UK GDPR is complied with:</paratext>
                  </para>
                  <list type="bulleted">
                    <list.item>
                      <para>
                        <paratext>
                          The transfer is to a country approved by the UK as providing adequate protection (
                          <ital>Article 45, UK GDPR</ital>
                          ).  For further information see 
                          <link anchor="a238796" href="w-013-9203" style="ACTLinkPLCtoPLC">
                            <ital>Practice note, Overview of data transfers (UK): Adequacy under the UK data protection regime</ital>
                          </link>
                           and 
                          <link anchor="a256361" href="w-016-7309" style="ACTLinkPLCtoPLC">
                            <ital>Brexit: implications for data protection: UK Adequacy Regulations</ital>
                          </link>
                           and 
                          <link anchor="a777872" href="w-016-7309" style="ACTLinkPLCtoPLC">
                            <ital>Matrix of potential free flows of personal data</ital>
                          </link>
                           and 
                          <internal.reference refid="a996573">Drafting note, DCMS Adequacy decisions (Data Adequacy Partnerships) under UK GDPR</internal.reference>
                          .
                        </paratext>
                      </para>
                    </list.item>
                    <list.item>
                      <para>
                        <paratext>
                          There are appropriate safeguards in place (for example, an ICO International Data Transfer Agreement (IDTA) or Binding Corporate Rules (BCRs)) (
                          <ital>Articles 46 and 47, UK GDPR</ital>
                          ).  The ICO has issued a statement on BCRs after the end of the transition period, see 
                          <link href="https://ico.org.uk/media/for-organisations/documents/2618639/binding-corporate-rules-at-the-end-of-the-transition-period-final-131120.pdf" style="ACTLinkURL">
                            <ital>ICO: Binding Corporate Rules at the end of the transition period</ital>
                          </link>
                          . For further information see 
                          <link anchor="a882355" href="w-013-9203" style="ACTLinkPLCtoPLC">
                            <ital>Practice note, Overview of data transfers (UK): Transfers subject to appropriate safeguards</ital>
                          </link>
                           and 
                          <internal.reference refid="a821134">Drafting note, ICO International Data Transfer Agreement (IDTA) and addendum to EU standard contractual clauses (EU SCCs) under UK GDPR</internal.reference>
                          .
                        </paratext>
                      </para>
                    </list.item>
                    <list.item>
                      <para>
                        <paratext>
                          One of the derogations for specific situations (for example, explicit consent of the data subject, or performance of a contract between the data subject and the controller) applies (
                          <ital>Article 49, UK GDPR</ital>
                          ). See 
                          <link anchor="a551068" href="w-013-9203" style="ACTLinkPLCtoPLC">
                            <ital>Practice note, Overview of data transfers (UK): Exceptions (derogations) for specific situations</ital>
                          </link>
                          .
                        </paratext>
                      </para>
                    </list.item>
                  </list>
                  <para>
                    <paratext>
                      Article 49(1)(d) of the UK GDPR provides a specific exception where the data transfer outside of the UK is for important reasons of public interest. Section 18 of Part 2, Chapter 2 of the 
                      <link href="w-014-9417" style="ACTLinkPLCtoPLC">
                        <ital>DPA 2018</ital>
                      </link>
                       allows the Secretary of State to specify when such a transfer will be considered necessary for important reasons of public interest. This section also allows the Secretary of State to specify limitations on data transfers to a third country or organisation when this is important for public interest reasons.
                    </paratext>
                  </para>
                  <para>
                    <paratext>Data subjects must be informed of data transfers outside of the UK in the data protection notice given by the relevant controller and provided with all relevant information to enable them to understand the risks and the safeguards being put in place.</paratext>
                  </para>
                  <para>
                    <paratext>
                      Under the EU GDPR, equivalent provisions apply for transfers outside the EEA. Controllers, relying on the exception in Article 49(1)(d), EU GDPR should therefore check member states' national laws for similar provisions.  The EDPB has issued guidance on international transfer derogations under the EU GDPR and this guidance may still be relevant for the equivalent UK GDPR derogations (see 
                      <link href="https://edpb.europa.eu/our-work-tools/our-documents/guidelines/guidelines-22018-derogations-article-49-under-regulation_en" style="ACTLinkURL">
                        <ital>EDPB: Guidelines 2/2018 on derogations of Article 49 under Regulation 2016/679</ital>
                      </link>
                      ).
                    </paratext>
                  </para>
                  <para>
                    <paratext>There are a number of developments to be aware of in relation to international data transfers, as follows:</paratext>
                  </para>
                </division>
                <division id="a996573" level="2">
                  <head align="left" preservecase="true">
                    <headtext>DCMS Adequacy decisions (Data Adequacy Partnerships) under UK GDPR</headtext>
                  </head>
                  <para>
                    <paratext>
                      On 26 August 2021, the Department for Digital, Culture, Media and Sport (DCMS) announced that it is launching a package of post-Brexit global data plans to boost growth, increase trade and improve healthcare and public services (see 
                      <link href="w-032-4204" style="ACTLinkPLCtoPLC">
                        <ital>Legal updates, UK launches post-Brexit global data plans</ital>
                      </link>
                      ). The package comprises many proposals in relation to data sharing and international data transfers, including:
                    </paratext>
                  </para>
                  <list type="bulleted">
                    <list.item>
                      <para>
                        <paratext>
                          A consultation on new multi-billion pound global "data adequacy" partnerships, initially with six priority territories; the USA, Australia, the Republic of Korea, Singapore, the Dubai International Finance Centre and Colombia. (The Data Protection (Adequacy) (Republic of Korea) Regulations 2022 (
                          <ital>SI 2022/1213</ital>
                          ) came into force on 19 December 2022 and organisations can transfer personal data between the UK and South Korea without restrictions (see 
                          <link href="w-037-6912" style="ACTLinkPLCtoPLC">
                            <ital>Legal update, Unrestricted personal data transfers to South Korea by end of 2022</ital>
                          </link>
                          )). See also, 
                          <internal.reference refid="a885180">Drafting note, Personal data transfers from the UK to the US</internal.reference>
                        </paratext>
                      </para>
                    </list.item>
                    <list.item>
                      <para>
                        <paratext>A Mission Statement on the UK's approach to international data transfers and adequacy assessments, along with the UK Manual Template, guidance and a UK data partnership map.</paratext>
                      </para>
                    </list.item>
                    <list.item>
                      <para>
                        <paratext>
                          A consultation, on the future UK data protection regime and ways in which to increase trade and innovation through the data regime, which includes proposals in relation to international data transfers which should be considered alongside the ICO’s consultation (see 
                          <internal.reference refid="a821134">Drafting note, ICO International Data Transfer Agreement (IDTA) and addendum to EU standard contractual clauses (EU SCCs) under UK GDPR</internal.reference>
                          ) and data sharing. The DCMS subsequently published its consultation 
                          <link href="_blank" style="ACTLinkPLCtoPLC">
                            <ital>Data: a new direction</ital>
                          </link>
                          . For further information see 
                          <link href="w-032-5655" style="ACTLinkPLCtoPLC">
                            <ital>Legal updates, DCMS announces plans to reform UK data protection regime</ital>
                          </link>
                           and 
                          <link href="w-032-9237" style="ACTLinkPLCtoPLC">
                            <ital>ICO response to DCMS consultation on future of UK data protection regime</ital>
                          </link>
                           and 
                          <link href="w-032-7584" style="ACTLinkPLCtoPLC">
                            <ital>Article, Data protection reform: setting the course for a new direction</ital>
                          </link>
                           and 
                          <link href="w-033-3291" style="ACTLinkPLCtoPLC">
                            <ital>Practice note, DCMS data protection reforms: summary of consultation proposals</ital>
                          </link>
                          .
                        </paratext>
                      </para>
                    </list.item>
                  </list>
                  <para>
                    <paratext>
                      The 
                      <link href="https://www.gov.uk/government/speeches/queens-speech-2022" style="ACTLinkURL">
                        <ital>Queen's Speech</ital>
                      </link>
                       was delivered on 10 May 2022, setting out the government's legislative plans for the next session of Parliament. Proposed legislation included a new Data Reform Bill (see 
                      <link href="w-035-5179" style="ACTLinkPLCtoPLC">
                        <ital>Legal update, Queen's Speech 2022: data protection implications</ital>
                      </link>
                      ).
                    </paratext>
                  </para>
                  <para>
                    <paratext>
                      The outcome of the DCMS' consultation was published on 17 June 2022. The outcome makes many proposals including in relation to data sharing and data transfers and the proposals should be considered alongside the ICO's work on international data transfers. The Annex to the response lists which proposals will and will not be taken forward and which are being considered further (see pages 59-67) (see 
                      <link href="w-035-9547" style="ACTLinkPLCtoPLC">
                        <ital>Legal update, DCMS publishes outcome of consultation "Data: a new direction"</ital>
                      </link>
                    </paratext>
                  </para>
                  <para>
                    <paratext>
                      The Data Protection and Digital Information Bill (announced in the Queen's Speech) draws upon the results of the DCMS' consultation and analysis, for more information see 
                      <link href="w-037-0061" style="ACTLinkPLCtoPLC">
                        <ital>Practice note, Data Protection and Digital Information Bill: key data protection provisions</ital>
                      </link>
                      .  However, after its first reading in Parliament the Bill was paused and re-introduced on 8 March 2023 as the Data Protection and Digital Information (No. 2) Bill (see 
                      <link href="w-038-7674" style="ACTLinkPLCtoPLC">
                        <ital>Legal update, Updated Data Protection and Digital Information Bill introduced to Parliament (alerter)</ital>
                      </link>
                       and 
                      <link href="w-038-9581" style="ACTLinkPLCtoPLC">
                        <ital>Article, New Data Protection and Digital Information Bill: what's changing?</ital>
                      </link>
                      ). After a considerable delay it was announced in the King's Speech on 7 November 2023 that the Bill would be subect to a carry over motion to the 2023-2024 parliamentary session and renamed to just Data Protection and Digital Information Bill (DPDI Bill). (see 
                      <link href="w-041-3101" style="ACTLinkPLCtoPLC">
                        <ital>Legal update, King's Speech 2023: data protection implications</ital>
                      </link>
                      ). To follow the progress of the Bill see the 
                      <link href="w-010-6097" style="ACTLinkPLCtoPLC">
                        <ital>UK data protection legislation tracker</ital>
                      </link>
                       for details.
                    </paratext>
                  </para>
                </division>
                <division id="a821134" level="2">
                  <head align="left" preservecase="true">
                    <headtext>ICO International Data Transfer Agreement (IDTA) and addendum to EU standard contractual clauses (EU SCCs) under UK GDPR</headtext>
                  </head>
                  <para>
                    <paratext>
                      The ICO has published its own UK SCCs (which it refers to as an International Data Transfer Agreement (IDTA)), and an addendum to the EU SCCs Following a public consultation, the ICO's IDTA and an Addendum to the European Commission's updated EU GDPR standard contractual clauses (EU SCCs) came into force on 21 March 2022 (see 
                      <link href="https://uk.practicallaw.thomsonreuters.com/w-034-4386?originationContext=document&amp;amp;transitionType=DocumentItem&amp;amp;contextData=(sc.Default)&amp;amp;ppcid=a7ca16d271b94aa0a3eb275f5c18500c" style="ACTLinkURL">
                        <ital>Standard document, ICO International Data Transfer Agreement (IDTA) (UK)</ital>
                      </link>
                       and 
                      <link href="https://uk.practicallaw.thomsonreuters.com/w-034-1635?originationContext=document&amp;amp;transitionType=DocumentItem&amp;amp;contextData=(sc.Default)&amp;amp;ppcid=a7ca16d271b94aa0a3eb275f5c18500c" style="ACTLinkURL">
                        <ital>Standard clause, ICO International Data Transfer Addendum to EU Commission Standard Contractual Clauses (UK)</ital>
                      </link>
                      ).  However, these do not include Article 28 clauses in relation to transfers to data processors outside of the UK, and these would need to be covered separately (see 
                      <internal.reference refid="a778359">Drafting note, Transfers to a processor</internal.reference>
                      ).
                    </paratext>
                  </para>
                  <para>
                    <paratext>
                      The ICO's IDTA and Addendum replace the SCCs under the 
                      <link href="1-505-8622" style="ACTLinkPLCtoPLC">
                        <ital>Data Protection Directive (95/46/EC)</ital>
                      </link>
                       (Directive SCCs) previously used for personal data transfers from the UK to third countries. The ICO has confirmed that contracts concluded on or before 21 September 2022 on the basis of the Directive SCCs continue to provide appropriate safeguards for the purpose of Article 46(1) of the UK GDPR until 21 March 2024, provided processing operations remain unchanged and are subject to appropriate safeguards; such contracts will therefore need to be reviewed before the deadline (see 
                      <link href="https://ico.org.uk/for-organisations/guide-to-data-protection/guide-to-the-general-data-protection-regulation-gdpr/international-data-transfer-agreement-and-guidance/" style="ACTLinkURL">
                        <ital>ICO: International Data Transfer Agreements - Transitional Provisions</ital>
                      </link>
                      ).
                    </paratext>
                  </para>
                  <para>
                    <paratext>
                      The EDPB's 
                      <link href="https://edpb.europa.eu/our-work-tools/our-documents/recommendations/recommendations-012020-measures-supplement-transfer_en" style="ACTLinkURL">
                        <ital>Recommendations 01/2020 on measures that supplement transfer tools to ensure compliance with the level of protection of personal data</ital>
                      </link>
                       are likely to be of relevance to the UK when further guidance on the kind of supplementary safeguards that could be provided (whether legal, technical or organisational measures) to transfer personal data to third countries is required, where the IDTA will not provide a sufficient level of guarantee on its own. The ICO has confirmed that the Recommendations can still be referred to as an alternative to its own Transfer Risk Assessment (TRA) and TRA tool.  The ICO has published updated guidance on international data transfers, which includes a new section on TRAs and a TRA tool (see 
                      <link href="https://nam02.safelinks.protection.outlook.com/?url=https%3A%2F%2Fico.org.uk%2Ffor-organisations%2Fguide-to-data-protection%2Fguide-to-the-general-data-protection-regulation-gdpr%2Finternational-data-transfer-agreement-and-guidance%2Ftransfer-risk-assessments%2F&amp;amp;data=05%7C01%7CHelen.Padley%40thomsonreuters.com%7C99691e82901e4787442308daf9584e14%7C62ccb8646a1a4b5d8e1c397dec1a8258%7C0%7C0%7C638096454914351198%7CUnknown%7CTWFpbGZsb3d8eyJWIjoiMC4wLjAwMDAiLCJQIjoiV2luMzIiLCJBTiI6Ik1haWwiLCJXVCI6Mn0%3D%7C3000%7C%7C%7C&amp;amp;sdata=c2uD1W4xOJlKHswSWASKcivHV9rS8cD3S%2BleIzTDLLo%3D&amp;amp;reserved=0" style="ACTLinkURL">
                        <ital>ICO: Transfer risk assessments</ital>
                      </link>
                      ). See 
                      <internal.reference refid="a899358">Drafting note, Schrems II: ECJ’s ruling on additional requirements for EU controller to processor SCCs and BCRs</internal.reference>
                      .
                    </paratext>
                  </para>
                  <para>
                    <paratext>
                      The ICO is aiming to publish guidance on how to use the IDTA and Addendum to the EU SCCs, and clause by clause guidance. In the meantime, see ICO guidance: 
                      <link href="https://ico.org.uk/for-organisations/uk-gdpr-guidance-and-resources/international-transfers/international-transfers-a-guide/" style="ACTLinkURL">
                        <ital>A guide to international transfers </ital>
                      </link>
                       and 
                      <link href="https://nam02.safelinks.protection.outlook.com/?url=https%3A%2F%2Fico.org.uk%2Ffor-organisations%2Fguide-to-data-protection%2Fguide-to-the-general-data-protection-regulation-gdpr%2Finternational-data-transfer-agreement-and-guidance%2F&amp;amp;data=05%7C01%7CHelen.Padley%40thomsonreuters.com%7C99691e82901e4787442308daf9584e14%7C62ccb8646a1a4b5d8e1c397dec1a8258%7C0%7C0%7C638096454914351198%7CUnknown%7CTWFpbGZsb3d8eyJWIjoiMC4wLjAwMDAiLCJQIjoiV2luMzIiLCJBTiI6Ik1haWwiLCJXVCI6Mn0%3D%7C3000%7C%7C%7C&amp;amp;sdata=tyfMxkHpUy7Q66XEcKnT1MPWPzcWAi9GJb6yoU%2F1FBM%3D&amp;amp;reserved=0" style="ACTLinkURL">
                        <ital>International data transfer agreement and guidance</ital>
                      </link>
                      .
                    </paratext>
                  </para>
                  <para>
                    <paratext>
                      For further information see 
                      <link href="w-033-2349" style="ACTLinkPLCtoPLC">
                        <ital>Practice notes, Transferring personal data outside the UK: FAQs</ital>
                      </link>
                       and 
                      <link anchor="a248832" href="w-013-9203" style="ACTLinkPLCtoPLC">
                        <ital>Overview of data transfers (UK): UK IDTA and Addendum to the EU SCCs: scope and structure</ital>
                      </link>
                      .
                    </paratext>
                  </para>
                  <para>
                    <paratext>
                      See 
                      <link href="https://uk.practicallaw.thomsonreuters.com/w-032-6995?originationContext=document&amp;amp;transitionType=DocumentItem&amp;amp;contextData=(sc.Default)&amp;amp;ppcid=e06153e287e64975922e2ea35950cca6" style="ACTLinkURL">
                        <ital>Article, ICO consultation on international data transfers: what to do now</ital>
                      </link>
                      .
                    </paratext>
                  </para>
                </division>
                <division id="a958394" level="2">
                  <head align="left" preservecase="true">
                    <headtext>Personal data transfers from the UK to the EU</headtext>
                  </head>
                  <para>
                    <paratext>
                      Post- transition period, personal data transfers from the UK to the EU can take place, but local advice should be sought. For further information see 
                      <link href="w-016-7309" style="ACTLinkPLCtoPLC">
                        <ital>Practice note, Brexit: implications for data protection</ital>
                      </link>
                       and in particular the following sections, 
                      <link anchor="a108602" href="w-016-7309" style="ACTLinkPLCtoPLC">
                        <ital>International data transfers following the transition period</ital>
                      </link>
                       and 
                      <link anchor="a777872" href="w-016-7309" style="ACTLinkPLCtoPLC">
                        <ital>Matrix of potential free flows of personal data</ital>
                      </link>
                       and 
                      <link anchor="a816314" href="w-026-2740" style="ACTLinkPLCtoPLC">
                        <ital>Practice note, Brexit post-transition period: data protection (UK): Transfers from the UK to the EU</ital>
                      </link>
                      .
                    </paratext>
                  </para>
                </division>
                <division id="a885180" level="2">
                  <head align="left" preservecase="true">
                    <headtext>Personal data transfers from the UK to the US</headtext>
                  </head>
                  <para>
                    <paratext>
                      The UK government is looking to agree a "data adequacy" partnership with the USA for personal data transfers from the UK to the US (see 
                      <link href="_blank" style="ACTLinkPLCtoPLC">
                        <ital>Legal update, UK and US make significant progress towards data adequacy agreement</ital>
                      </link>
                      , see also 
                      <internal.reference refid="a996573">Drafting note, DCMS Adequacy decisions (Data Adequacy Partnerships) under UK GDPR</internal.reference>
                       and 
                      <link anchor="a558769" href="w-013-9203" style="ACTLinkPLCtoPLC">
                        <ital>Practice note, Overview of data transfers (UK): UK to US data transfers</ital>
                      </link>
                      .
                    </paratext>
                  </para>
                  <para>
                    <paratext>Under the EU GDPR, equivalent provisions apply for transfers outside the EEA to third countries, including:</paratext>
                  </para>
                </division>
                <division id="a832800" level="2">
                  <head align="left" preservecase="true">
                    <headtext>Personal data transfers from the EU under European Commission standard contractual clauses (EU SCCs) made under EU GDPR</headtext>
                  </head>
                  <para>
                    <paratext>
                      The European Commission has adopted standard contractual clauses (EU SCCs) under the 
                      <link href="_blank" style="ACTLinkPLCtoPLC">
                        <ital>EU GDPR</ital>
                      </link>
                       which update and replace the previous SCCs (that is to say, those made under the Data Protection Directive 95/46/EC). The EU SCCs took effect on 27 June 2021 for the transfer of personal data from the EEA to third countries under Articles 28(7) and 46(2)(c) of the EU GDPR and can be used for the following transfers from the EEA to third countries: controller-to-controller; controller-to-processor; processor-to controller; and processor-to-processor. Whilst these EU SCCs take into account many of the EDPB's 
                      <link href="https://edpb.europa.eu/our-work-tools/our-documents/recommendations/recommendations-012020-measures-supplement-transfer_en" style="ACTLinkURL">
                        <ital>Recommendations 01/2020</ital>
                      </link>
                       on supplementary measures the Recommendations provide further guidance on the kind of supplementary safeguards that could be provided, whether legal, technical or organisational measures, to transfer personal data to third countries where EU SCCs will not provide a sufficient level of guarantee on their own.
                    </paratext>
                  </para>
                  <para>
                    <paratext>The EU SCCs do not form part of Retained EU law. However, contracts using the Directive SCCs concluded before 27 September 2021, remained valid until 27 December 2022, provided processing operations remained unchanged and were subject to appropriate safeguards. This likely created a large burden for data exporters and importers in updating their contracts.</paratext>
                  </para>
                  <para>
                    <paratext>
                      For further information on the EU SCCs, Schrems II and the implications for UK organisations see 
                      <link href="w-031-2777" style="ACTLinkPLCtoPLC">
                        <ital>Legal update, European Commission adopts final versions of standard contractual clauses under EU GDPR</ital>
                      </link>
                       and 
                      <link href="https://uk.practicallaw.thomsonreuters.com/w-031-4820?originationContext=document&amp;amp;transitionType=DocumentItem&amp;amp;contextData=(sc.Default)&amp;amp;ppcid=0d545baef5674f67af348d44e564b975" style="ACTLinkURL">
                        <ital>Articles, Updated SCCs for international data transfers: fit for the future</ital>
                      </link>
                       and 
                      <link href="w-031-6356" style="ACTLinkPLCtoPLC">
                        <ital>European Commission’s new standard contractual clauses: what they mean for UK businesses</ital>
                      </link>
                      .
                    </paratext>
                  </para>
                </division>
                <division id="a386660" level="2">
                  <head align="left" preservecase="true">
                    <headtext>Personal data transfers from the EU to the UK under European Commission adequacy decision made under EU GDPR</headtext>
                  </head>
                  <para>
                    <paratext>
                      On 28 June 2021, the European Commission adopted adequacy decisions under the EU GDPR in respect of the UK, which means that personal data can continue to flow freely from the EU to the UK as the European Commission considers that the UK offers an equivalent level of protection for personal data as under EU law (see 
                      <link href="https://uk.practicallaw.thomsonreuters.com/w-031-6678?originationContext=document&amp;amp;transitionType=DocumentItem&amp;amp;contextData=(sc.Default)&amp;amp;ppcid=40bd543d0ddb4ef48c79b207ecf08d52&amp;amp;comp=pluk" style="ACTLinkURL">
                        <ital>Legal update, European Commission adopts UK adequacy decisions</ital>
                      </link>
                      ). For further information see 
                      <link anchor="a238796" href="w-013-9203" style="ACTLinkPLCtoPLC">
                        <ital>Practice note, Overview of Data transfers (UK): Adequacy under the UK data protection regime</ital>
                      </link>
                      .
                    </paratext>
                  </para>
                </division>
                <division id="a899358" level="2">
                  <head align="left" preservecase="true">
                    <headtext>Schrems II: ECJ’s ruling on additional requirements for EU controller to processor SCCs and BCRs</headtext>
                  </head>
                  <para>
                    <paratext>It is worth noting a significant ECJ preliminary ruling which impacts on cross-border data transfers and, as it forms part of the body of Retained EU Law, remains relevant to the UK post-transition period.</paratext>
                  </para>
                  <para>
                    <paratext>
                      On 16 July 2020, the ECJ delivered its preliminary ruling in 
                      <link href="https://uk.practicallaw.thomsonreuters.com/D-105-0207?originationContext=document&amp;amp;transitionType=PLDocumentLink&amp;amp;contextData=(sc.Default)&amp;amp;ppcid=5b4968cbc8424f43883b86a2f4adbecc" style="ACTLinkURL">
                        <ital>Data Protection Commissioner v Facebook Ireland and Maximillian Schrems (Case C-311/18) EU:C:2020:559</ital>
                      </link>
                       (commonly referred to as Schrems II) that Commission Decision 2010/87 on standard contractual clauses (SCCs) made under the Data Protection Directive (95/46/EC) for the transfer of personal data from EU controllers to processors in third countries was valid. In a surprise move, the ECJ also ruled that Commission Decision 2016/1250 on the adequacy of the protection provided by the EU-US Privacy Shield was invalid (see 
                      <link href="w-026-5575" style="ACTLinkPLCtoPLC">
                        <ital>Legal update, Schrems II: controller to processor standard contractual clauses valid but EU-US Privacy Shield invalid (ECJ)</ital>
                      </link>
                      ). Negotiations are currently underway between the EU and US for a replacement (see 
                      <link href="w-035-0074" style="ACTLinkPLCtoPLC">
                        <ital>Legal update, EU and US announce new Trans-Atlantic Data Privacy Framework</ital>
                      </link>
                      ).
                    </paratext>
                  </para>
                  <para>
                    <paratext>Despite the validity ruling businesses using controller-to-processor SCCs (or planning to do so) face additional burdens as they will need to assess on a case-by-case basis whether the third country provides a level of protection essentially equivalent to that guaranteed by the GDPR within the EU (practically speaking, within the EEA). The assessment of the level of protection afforded must take into consideration not only the SCCs agreed between the EU data exporter and the data importer established in a third country, but also, any access by the data importer's authorities to the personal data transferred, the availability of judicial redress for individuals and the relevant aspects of the third country's legal system (in particular, those set out in a non-exhaustive manner in Article 45(2) of the GDPR) and, if necessary, they may need to put in place additional safeguards. The ECJ highlighted that it is the primary responsibility of the data exporter and the data importer to make this assessment and to provide the supplementary safeguards.</paratext>
                  </para>
                  <para>
                    <paratext>Although the ruling relates to the European Commission's controller-to-processor SCCs, it will likely impact on the European Commission's controller-to-controller SCCs too.</paratext>
                  </para>
                  <para>
                    <paratext>
                      The EDPB has published 
                      <link href="https://edpb.europa.eu/our-work-tools/our-documents/recommendations/recommendations-012020-measures-supplement-transfer_en" style="ACTLinkURL">
                        <ital>Recommendations 01/2020</ital>
                      </link>
                       on supplementary measures and the European Commission has adopted updated EU SCCs which take into account many of the EDPB's recommendations which the ICO says can be used an alternative to the ICO's Transfer Risk Assessment (see 
                      <internal.reference refid="a832800">Drafting note, Personal data transfers from the EU under European Commission standard contractual clauses (EU SCCs) made under EU GDPR</internal.reference>
                       and 
                      <internal.reference refid="a887173">Drafting note, Transfers from the UK to third countries under UK GDPR</internal.reference>
                      ).
                    </paratext>
                  </para>
                  <para>
                    <paratext>For further information see practice notes:</paratext>
                  </para>
                  <list type="bulleted">
                    <list.item>
                      <para>
                        <paratext>
                          <link href="w-033-2349" style="ACTLinkPLCtoPLC">
                            <ital>Transferring personal data outside the UK: FAQs</ital>
                          </link>
                          .
                        </paratext>
                      </para>
                    </list.item>
                    <list.item>
                      <para>
                        <paratext>
                          <link anchor="a205282" href="w-013-3757" style="ACTLinkPLCtoPLC">
                            <ital>Overview of UK GDPR: Data security and personal data breaches</ital>
                          </link>
                          <ital> </ital>
                          and 
                          <link anchor="a628943" href="w-013-3757" style="ACTLinkPLCtoPLC">
                            <ital>Transfers of personal data outside the EEA</ital>
                          </link>
                           and 
                          <link anchor="a915248" href="w-013-3757" style="ACTLinkPLCtoPLC">
                            <ital>Data controller and processor contracts</ital>
                          </link>
                          .
                        </paratext>
                      </para>
                    </list.item>
                    <list.item>
                      <para>
                        <paratext>
                          <link anchor="a903539" href="w-018-8492" style="ACTLinkPLCtoPLC">
                            <ital>Overview of data sharing arrangements (UK): Data security</ital>
                          </link>
                          .
                        </paratext>
                      </para>
                    </list.item>
                    <list.item>
                      <para>
                        <paratext>
                          <link href="w-013-9203" style="ACTLinkPLCtoPLC">
                            <ital>Overview of data transfers (UK)</ital>
                          </link>
                          .
                        </paratext>
                      </para>
                    </list.item>
                  </list>
                </division>
              </division>
            </drafting.note>
            <subclause1 id="a636609">
              <identifier>9.1</identifier>
              <para>
                <paratext>For the purposes of this clause, transfers of Personal Data shall mean any sharing of Personal Data by the Data Receiver with a third party, and shall include the following:</paratext>
              </para>
              <subclause2 id="a959618">
                <identifier>(a)</identifier>
                <para>
                  <paratext>subcontracting the processing of Shared Personal Data;</paratext>
                </para>
              </subclause2>
              <subclause2 id="a588539">
                <identifier>(b)</identifier>
                <para>
                  <paratext>granting a third party Controller access to the Shared Personal Data.</paratext>
                </para>
              </subclause2>
            </subclause1>
            <subclause1 id="a639977">
              <identifier>9.2</identifier>
              <para>
                <paratext>If the Data Receiver appoints a third party Processor to Process the Shared Personal Data it shall comply with the relevant provisions of the Data Protection Legislation and shall remain liable to the Data Discloser for the acts and/or omissions of the Processor.</paratext>
              </para>
            </subclause1>
            <subclause1 id="a971192">
              <identifier>9.3</identifier>
              <para>
                <paratext>
                  [The Data Receiver may not transfer Shared Personal Data to a third party located outside the UK 
                  <bold>OR</bold>
                   [EEA] unless it;
                </paratext>
              </para>
              <subclause2 id="a703797">
                <identifier>(a)</identifier>
                <para>
                  <paratext>complies with the provisions of the Data Protection Legislation in the event the third party is a joint controller; and</paratext>
                </para>
              </subclause2>
              <subclause2 id="a844074">
                <identifier>(b)</identifier>
                <para>
                  <paratext>ensures that (i) the transfer is to a country approved under the applicable Data Protection Legislation as providing adequate protection; or (ii) there are appropriate safeguards or binding corporate rules in place pursuant to the applicable Data Protection Legislation; or (iii) the transferee otherwise complies with the Data Receiver's obligations under the applicable Data Protection Legislation by providing an adequate level of protection to any Shared Personal Data that is transferred; or (iv) one of the derogations for specific situations in the applicable Data Protection Legislation  applies to the transfer.</paratext>
                </para>
              </subclause2>
              <para>
                <paratext>
                  <bold>OR</bold>
                </paratext>
              </para>
              <para>
                <paratext>
                  The Data Receiver shall not disclose or transfer Shared Personal Data outside the [UK] 
                  <bold>OR</bold>
                   [EEA.]]
                </paratext>
              </para>
              <drafting.note id="a873881" jurisdiction="">
                <head align="left" preservecase="true">
                  <headtext>Data transfer within the UK or EEA only</headtext>
                </head>
                <division id="a000037" level="1">
                  <para>
                    <paratext>
                      The parties may want to introduce data localisation provisions and this clause means that the Agreement is applicable to data sharing within either the UK or the EEA only. 
                      <internal.reference refid="a971192">Clause 9.3</internal.reference>
                       ensures that this remains the case. In particular, it draws attention to the broad meaning of the word "transfer" in data protection law as this can also include, amongst other things, granting individuals located outside the UK or EEA access to the shared personal data.
                    </paratext>
                  </para>
                  <para>
                    <paratext>
                      In some instances, where the data receiver is in the EU, the parties might want to restrict this further and keep the personal data within the data receiver's member state. Whether these data localisation restrictions are included is ultimately a commercial decision for the parties. If the parties agree that the data receiver can transfer the Shared Personal Data outside of the UK or EEA this clause should be replaced by 
                      <internal.reference refid="a703797">clause 9.3(a)</internal.reference>
                       above. Further, in the wider commercial context, where the use of cloud services and processors is increasingly prevalent, such a stipulation may be unrealistic in which case the parties should replace it with the alternate 
                      <internal.reference refid="a639977">clause 9.2</internal.reference>
                      .
                    </paratext>
                  </para>
                  <para>
                    <paratext>
                      More generally, see 
                      <internal.reference refid="a584150">Drafting note, Transfers</internal.reference>
                      .
                    </paratext>
                  </para>
                </division>
              </drafting.note>
            </subclause1>
          </clause>
          <clause id="a507947">
            <identifier>10.</identifier>
            <head align="left" preservecase="true">
              <headtext>Security and training</headtext>
            </head>
            <subclause1 id="a679595">
              <identifier>10.1</identifier>
              <para>
                <paratext>
                  The Data Discloser shall only provide the Shared Personal Data to the Data Receiver by using secure methods as agreed and set out in 
                  <internal.reference refid="a658256">Schedule 9</internal.reference>
                  .
                </paratext>
              </para>
              <drafting.note id="a960305" jurisdiction="">
                <head align="left" preservecase="true">
                  <headtext>Secure data sharing</headtext>
                </head>
                <division id="a000038" level="1">
                  <para>
                    <paratext>When establishing agreed and secure methods of data sharing, parties should take into account the nature and sensitivity of the Shared Personal Data.</paratext>
                  </para>
                  <para>
                    <paratext>These secure methods should deal with both electronic and physical data sharing. For example, for physical transfers, ensuring memory sticks are always encrypted with the password sent separately via email.</paratext>
                  </para>
                  <para>
                    <paratext>For electronic transfers, ensuring spreadsheets containing special category personal data are password protected. It may also be appropriate to ensure that emails containing Shared Personal Data are only transferred through secured networks.</paratext>
                  </para>
                  <para>
                    <paratext>This area can be quite technical and it is advisable that the respective party's IT representative is involved in order to set out the methods of transfer in more detail and to ensure all parties have the IT capabilities to implement the same in practice.</paratext>
                  </para>
                  <para>
                    <paratext>The ICO's data sharing code 2021 states:</paratext>
                  </para>
                  <display.quote>
                    <para>
                      <paratext>"Data protection law requires you to process personal data securely, with appropriate organisational and technical measures in place. The security measures must be "appropriate" to the nature, scope, context and purpose of the processing and the risks posed to the rights and freedoms of individuals …You must also take into account the various security measure available and the costs of implementation when deciding what measures are appropriate for your circumstances. The "data protection by design and default" approach described in the section on accountability will help you to consider the security measures to put in place."  (Page 46, ICO data sharing code 2021).</paratext>
                    </para>
                  </display.quote>
                  <para>
                    <paratext>For further information, see practice notes:</paratext>
                  </para>
                  <list type="bulleted">
                    <list.item>
                      <para>
                        <paratext>
                          <link anchor="a205282" href="w-013-3757" style="ACTLinkPLCtoPLC">
                            <ital>Overview of UK GDPR: Data security and personal data breaches</ital>
                          </link>
                          .
                        </paratext>
                      </para>
                    </list.item>
                    <list.item>
                      <para>
                        <paratext>
                          <link anchor="a903539" href="w-018-8492" style="ACTLinkPLCtoPLC">
                            <ital>Overview of data sharing arrangements: GDPR and DPA 2018 (UK): Data security</ital>
                          </link>
                          .
                        </paratext>
                      </para>
                    </list.item>
                    <list.item>
                      <para>
                        <paratext>
                          <link href="w-013-5138" style="ACTLinkPLCtoPLC">
                            <ital>Data security under the UK GDPR and DPA 2018</ital>
                          </link>
                          .
                        </paratext>
                      </para>
                    </list.item>
                  </list>
                </division>
              </drafting.note>
            </subclause1>
            <subclause1 id="a391762">
              <identifier>10.2</identifier>
              <para>
                <paratext>The parties undertake to have in place throughout the Term of this Agreement appropriate technical and organisational security measures to:</paratext>
              </para>
              <subclause2 id="a985770">
                <identifier>(a)</identifier>
                <para>
                  <paratext>prevent:</paratext>
                </para>
                <subclause3 id="a184604">
                  <identifier>(i)</identifier>
                  <para>
                    <paratext>unauthorised or unlawful processing of the Shared Personal Data; and</paratext>
                  </para>
                </subclause3>
                <subclause3 id="a907235">
                  <identifier>(ii)</identifier>
                  <para>
                    <paratext>the accidental loss or destruction of, or damage to, the Shared Personal Data</paratext>
                  </para>
                </subclause3>
              </subclause2>
              <subclause2 id="a303189">
                <identifier>(b)</identifier>
                <para>
                  <paratext>ensure a level of security appropriate to:</paratext>
                </para>
                <subclause3 id="a793331">
                  <identifier>(i)</identifier>
                  <para>
                    <paratext>the harm that might result from such unauthorised or unlawful processing or accidental loss, destruction or damage; and</paratext>
                  </para>
                </subclause3>
                <subclause3 id="a140609">
                  <identifier>(ii)</identifier>
                  <para>
                    <paratext>the nature of the Shared Personal Data to be protected.</paratext>
                  </para>
                  <drafting.note id="a439046" jurisdiction="">
                    <head align="left" preservecase="true">
                      <headtext>Appropriate technical and organisational security measures</headtext>
                    </head>
                    <division id="a000039" level="1">
                      <para>
                        <paratext>
                          The sixth data protection principle requires controllers to process personal data in a manner that ensures appropriate security, including protection against unauthorised or unlawful processing and against accidental loss, destruction or damage, using appropriate technical or organisational measures (see 
                          <link anchor="a205282" href="w-013-3757" style="ACTLinkPLCtoPLC">
                            <ital>Practice note, Overview of UK GDPR: Data security and personal data breaches</ital>
                          </link>
                          ).
                        </paratext>
                      </para>
                      <para>
                        <paratext>Parties may often have different standards of security, IT systems and procedures. Any issues regarding the security of the transfer should be resolved and documented before sharing personal data. When establishing technical and organisational security arrangements, parties may look to international information management standards such as the ISO 27001.</paratext>
                      </para>
                      <para>
                        <paratext>This area can be quite technical and it is advisable that the respective parties' IT representative is involved to ensure all parties have the IT capabilities to meet the requirement of the sixth data protection principle.</paratext>
                      </para>
                      <para>
                        <paratext>It is worth bearing in mind that, where a data receiver is outside the UK, each of the parties will be under their own national legal obligation to keep the data secure. Each party will therefore be liable under their own national data protection laws for any personal data breach. Any mutual obligation to abide by common security standards would make either party liable to the other for a breach of the sixth principle where there was no such obligation to have to implement common standards.</paratext>
                      </para>
                    </division>
                  </drafting.note>
                </subclause3>
              </subclause2>
            </subclause1>
            <subclause1 id="a216858">
              <identifier>10.3</identifier>
              <para>
                <paratext>
                  The level of technical and organisational measures agreed by the parties as appropriate as at the Commencement Date having regard to the state of technological development and the cost of implementing such measures is set out in 
                  <internal.reference refid="a658256">Schedule 9</internal.reference>
                  . The parties shall keep such security measures under review and shall carry out such updates as they agree are appropriate throughout the Term of this Agreement.
                </paratext>
              </para>
            </subclause1>
            <subclause1 id="a306049">
              <identifier>10.4</identifier>
              <para>
                <paratext>
                  It is the responsibility of each party to ensure that its staff members are appropriately trained to handle and process the Shared Personal Data in accordance with the technical and organisational security measures set out in 
                  <internal.reference refid="a658256">Schedule 9</internal.reference>
                   together with any other applicable Data Protection Legislation [and guidance] and have entered into confidentiality agreements relating to the Processing of Personal Data.
                </paratext>
              </para>
            </subclause1>
            <subclause1 id="a740006">
              <identifier>10.5</identifier>
              <para>
                <paratext>
                  The level, content and regularity of training referred to in 
                  <internal.reference refid="a306049">clause 10.4</internal.reference>
                  <ital> </ital>
                  shall be proportionate to the staff members' role, responsibility and frequency with respect to their handling and Processing of the Shared Personal Data.
                </paratext>
              </para>
              <drafting.note id="a672238" jurisdiction="">
                <head align="left" preservecase="true">
                  <headtext>Staff training</headtext>
                </head>
                <division id="a000040" level="1">
                  <para>
                    <paratext>Data breaches commonly occur as a result of human error. There have been numerous cases of unencrypted USB sticks or spreadsheets containing sensitive personal data that were lost, stolen or sent to the wrong recipient.</paratext>
                  </para>
                  <para>
                    <paratext>A tailored and thorough training program will not only reduce the risks of a personal data breach but will also provide evidence to the Information Commissioner (or relevant national supervisory authority (in the event of an investigation) that all reasonable steps were taken by the parties to ensure that their staff members were appropriately trained.</paratext>
                  </para>
                  <para>
                    <paratext>
                      For sample training slides see 
                      <link href="w-024-8751" style="ACTLinkPLCtoPLC">
                        <ital>Standard documents, UK GDPR key messages: presentation materials</ital>
                      </link>
                       and 
                      <link href="w-025-3178" style="ACTLinkPLCtoPLC">
                        <ital>UK GDPR in depth: presentation materials</ital>
                      </link>
                      .
                    </paratext>
                  </para>
                </division>
              </drafting.note>
            </subclause1>
          </clause>
          <clause id="a722906">
            <identifier>11.</identifier>
            <head align="left" preservecase="true">
              <headtext>Personal data breaches and reporting procedures</headtext>
            </head>
            <drafting.note id="a122513" jurisdiction="">
              <head align="left" preservecase="true">
                <headtext>Personal data breach and reporting procedures</headtext>
              </head>
              <division id="a000041" level="1">
                <para>
                  <paratext>A personal data breach can occur due to a variety of reasons such as human error, a cyber-attack, loss of data or equipment failure.</paratext>
                </para>
                <para>
                  <paratext>
                    A UK controller has an obligation under Article 33 of the 
                    <link href="w-027-1020" style="ACTLinkPLCtoPLC">
                      <ital>UK GDPR</ital>
                    </link>
                     to notify the Information Commissioner within 72 hours of any personal data breach unless the breach is unlikely to result in a risk to the rights and freedoms of data subjects (for example, where the breach relates only to pseudonymised data). Where there is likely to be a high risk to the rights and freedoms of data subjects the controller must also communicate the data breach to the data subjects without delay. Under the 
                    <link href="6-631-1875" style="ACTLinkPLCtoPLC">
                      <ital>EU GDPR</ital>
                    </link>
                    , controllers are required to report to the relevant national supervisory authority.
                  </paratext>
                </para>
                <para>
                  <paratext>It is also important that the parties commit to working with each other in practice and provide assistance to each other where necessary without delay.</paratext>
                </para>
                <para>
                  <paratext>For further information see practice notes:</paratext>
                </para>
                <list type="bulleted">
                  <list.item>
                    <para>
                      <paratext>
                        <link anchor="a205282" href="w-013-3757" style="ACTLinkPLCtoPLC">
                          <ital>Overview of UK GDPR: Data security and personal data breaches</ital>
                        </link>
                        .
                      </paratext>
                    </para>
                  </list.item>
                  <list.item>
                    <para>
                      <paratext>
                        <link anchor="a903539" href="w-018-8492" style="ACTLinkPLCtoPLC">
                          <ital>Overview of data sharing arrangements (GDPR and DPA 2018) (UK): Data security</ital>
                        </link>
                        .
                      </paratext>
                    </para>
                  </list.item>
                </list>
              </division>
            </drafting.note>
            <subclause1 id="a966397">
              <identifier>11.1</identifier>
              <para>
                <paratext>The parties shall each comply with its obligation to report a Personal Data Breach to the Information Commissioner or appropriate Supervisory Authority and (where applicable) Data Subjects under the Data Protection Legislation and shall each inform the other party of any Personal Data Breach irrespective of whether there is a requirement to notify the Information Commissioner or any Supervisory Authority or Data Subject(s).</paratext>
              </para>
            </subclause1>
            <subclause1 id="a677792">
              <identifier>11.2</identifier>
              <para>
                <paratext>The parties agree to provide reasonable assistance as is necessary to each other to facilitate the handling of any Personal Data Breach in an expeditious and compliant manner.</paratext>
              </para>
            </subclause1>
          </clause>
          <clause id="a890485">
            <identifier>12.</identifier>
            <head align="left" preservecase="true">
              <headtext>Review and termination of this Agreement</headtext>
            </head>
            <subclause1 id="a842683">
              <identifier>12.1</identifier>
              <para>
                <paratext>
                  Any additional Data Receiver that wishes to be part of this data sharing initiative and Agreement shall complete and submit a data sharing request form, as set out in 
                  <internal.reference refid="a607933">Schedule 10</internal.reference>
                  . Each party must then complete and submit a data sharing decision form, as set out in 
                  <internal.reference refid="a573170">Schedule 11</internal.reference>
                  . The consent of every party is required in order that the additional party be included into this Agreement.
                </paratext>
              </para>
            </subclause1>
            <subclause1 id="a873733">
              <identifier>12.2</identifier>
              <para>
                <paratext>
                  In the event that a party terminates its involvement in this Agreement or a new Data Receiver joins the Agreement in accordance with 
                  <internal.reference refid="a842683">clause 12.1</internal.reference>
                  , an amended and updated version of this Agreement will be drafted as soon as practicable and circulated to all other parties.
                </paratext>
              </para>
              <drafting.note id="a433234" jurisdiction="">
                <head align="left" preservecase="true">
                  <headtext>Review and termination</headtext>
                </head>
                <division id="a000042" level="1">
                  <para>
                    <paratext>The Agreement provides for the addition of further data receivers. In practice this may only make commercial sense if all receivers have a corporate connection (for example, if they all belong to the same group of companies but are independent controllers) or if they wish to process the shared data for the same agreed purposes. Otherwise, it would make more sense for the discloser to enter into different contracts with each of them to avoid a situation where existing receiver(s) could dictate with whom the data discloser can share the personal data it holds.</paratext>
                  </para>
                  <para>
                    <paratext>Schedules 10 (data sharing request form) and 11 (data sharing decision form) would depend on the specific circumstances of the data sharing and examples are not included, however the following may be useful:</paratext>
                  </para>
                  <list type="bulleted">
                    <list.item>
                      <para>
                        <paratext>The data sharing request form should prompt for as much information as necessary so that the parties to the Agreement can make an informed decision as to whether the new party should be part of the data sharing initiative. For example, does the additional party have the capacity to implement appropriate organisational and security measures as agreed under the Agreement? Does it just want to process personal data already being shared between the current parties? Is the party's purpose for processing the shared personal data in line with the current parties' purposes?</paratext>
                      </para>
                    </list.item>
                    <list.item>
                      <para>
                        <paratext>The data sharing decision form will be less detailed and will serve to evidence each party's decision with respect to the additional data receiver's request. To that extent, it will be useful to have a section on the reasons for which the request is rejected, if at all.</paratext>
                      </para>
                    </list.item>
                  </list>
                  <para>
                    <paratext>Alternatively, the parties may want to consider whether a Deed of Adherence is appropriate, which will more tightly define the rights and obligations of all the parties.</paratext>
                  </para>
                </division>
              </drafting.note>
            </subclause1>
            <subclause1 id="a666221">
              <identifier>12.3</identifier>
              <para>
                <paratext>
                  The parties shall review the effectiveness of this data sharing initiative every [NUMBER] months and on the addition and removal of a party, having consideration to the aims and purposes set out in 
                  <internal.reference refid="a996554">clause 2.2</internal.reference>
                   and 
                  <internal.reference refid="a601079">clause 2.3</internal.reference>
                  . The parties shall continue, amend or terminate this Agreement depending on the outcome of this review.
                </paratext>
              </para>
            </subclause1>
            <subclause1 id="a859414">
              <identifier>12.4</identifier>
              <para>
                <paratext>The review of the effectiveness of the data sharing initiative will involve:</paratext>
              </para>
              <subclause2 id="a190360">
                <identifier>(a)</identifier>
                <para>
                  <paratext>
                    assessing whether the purposes for which the Shared Personal Data is being processed are still the ones listed in 
                    <internal.reference refid="a832968">clause 2.4</internal.reference>
                     of this Agreement;
                  </paratext>
                </para>
              </subclause2>
              <subclause2 id="a594475">
                <identifier>(b)</identifier>
                <para>
                  <paratext>
                    assessing whether the Shared Personal Data is still as listed in 
                    <internal.reference refid="a720125">clause 4.1</internal.reference>
                     [and 
                    <internal.reference refid="a415186">clause 4.2</internal.reference>
                    ] [and 
                    <internal.reference refid="a644212">Schedule 4</internal.reference>
                    ] of this Agreement;
                  </paratext>
                </para>
              </subclause2>
              <subclause2 id="a343581">
                <identifier>(c)</identifier>
                <para>
                  <paratext>assessing whether the legal framework governing data quality, retention, and data subjects' rights are being complied with; and</paratext>
                </para>
              </subclause2>
              <subclause2 id="a858076">
                <identifier>(d)</identifier>
                <para>
                  <paratext>assessing whether Personal Data Breaches involving the Shared Personal Data have been handled in accordance with this Agreement and the applicable legal framework.</paratext>
                </para>
                <drafting.note id="a926942" jurisdiction="">
                  <head align="left" preservecase="true">
                    <headtext>Effectiveness of data sharing initiative</headtext>
                  </head>
                  <division id="a000043" level="1">
                    <para>
                      <paratext>The Data Sharing Code recommends a timescale for assessing the ongoing effectiveness of the data sharing initiative and of the agreement that governs it. Parties should check, for example, that the purposes are still current and that there are no further purposes.</paratext>
                    </para>
                  </division>
                </drafting.note>
              </subclause2>
            </subclause1>
            <subclause1 id="a483499">
              <identifier>12.5</identifier>
              <para>
                <paratext>Each party reserves its rights to inspect the other party's arrangements for the Processing of Shared Personal Data and to terminate its involvement in this Agreement where it considers that the other party is not Processing the Shared Personal Data in accordance with this Agreement.</paratext>
              </para>
            </subclause1>
          </clause>
          <clause id="a977876">
            <identifier>13.</identifier>
            <head align="left" preservecase="true">
              <headtext>Resolution of disputes with data subjects or the Supervisory Authority</headtext>
            </head>
            <drafting.note id="a142317" jurisdiction="">
              <head align="left" preservecase="true">
                <headtext>Resolution of disputes with data subjects and the Information Commissioner [or the supervisory authority]</headtext>
              </head>
              <division id="a000044" level="1">
                <para>
                  <paratext>
                    This wording is prescribed by the European Commission's Standard Contractual Clauses for the transfer of personal data from the EU to controllers established in third countries (controller-to-controller transfers) made under the Data Protection Directive 95/46/EC (Directive SCCs) and which are currently still valid under the UK GDPR until 21 March 2024 (provided they were concluded on or before 21 September 2022). The ICO has amended the clauses so that they work in a UK context.  See 
                    <link href="w-033-2349" style="ACTLinkPLCtoPLC">
                      <ital>Practice notes, Transferring personal data outside the UK: FAQs: Can we use Directive SCCs for restricted personal data transfers under the UK GDPR or should we use the new EU SCCs under the EU GDPR?</ital>
                    </link>
                     and 
                    <link anchor="a621012" href="w-013-3757" style="ACTLinkPLCtoPLC">
                      <ital>Overview of UK GDPR: What about decisions and authorisations made under the Data Protection Directive?</ital>
                    </link>
                    <ital> </ital>
                  </paratext>
                </para>
                <para>
                  <paratext>
                    For further information, see 
                    <link href="2-367-0996#a886238" style="ACTLinkPLCtoPLC">
                      <ital>Practice note, Standard contractual clauses for the transfer of personal data from the European Union to third countries (controller-to-controller transfers): Resolution of disputes with data subjects or the national supervisory authority</ital>
                    </link>
                    .
                  </paratext>
                </para>
                <para>
                  <paratext>
                    See 
                    <internal.reference refid="a584150">Drafting note, Transfers</internal.reference>
                     for information about EU SCCs under the EU GDPR.
                  </paratext>
                </para>
                <para>
                  <paratext>
                    For further information, see 
                    <link href="https://uk.practicallaw.thomsonreuters.com/w-005-2487" style="ACTLinkURL">
                      <ital>Practice note, Enforcement, sanctions and remedies (UK)</ital>
                    </link>
                    .
                  </paratext>
                </para>
              </division>
            </drafting.note>
            <subclause1 id="a785200">
              <identifier>13.1</identifier>
              <para>
                <paratext>In the event of a dispute, complaint or claim brought by a Data Subject or the Information Commissioner [or a Supervisory Authority] concerning the processing of Shared Personal Data against either or both parties, the parties will inform each other about any such disputes, complaints or claims, and will cooperate with a view to settling them amicably in a timely fashion.</paratext>
              </para>
            </subclause1>
            <subclause1 id="a467690">
              <identifier>13.2</identifier>
              <para>
                <paratext>The parties agree to respond to any generally available non-binding mediation procedure initiated by a Data Subject or by the Information Commissioner [or by a Supervisory Authority]. If they do participate in the proceedings, the parties may elect to do so remotely (such as by telephone or other electronic means). The parties also agree to consider participating in any other arbitration, mediation or other dispute resolution proceedings developed for data protection disputes.</paratext>
              </para>
            </subclause1>
            <subclause1 id="a438806">
              <identifier>13.3</identifier>
              <para>
                <paratext>Each party shall abide by a decision of a competent court of the Data Discloser's country of establishment or of the Information Commissioner [or a Supervisory Authority].</paratext>
              </para>
            </subclause1>
          </clause>
          <clause id="a311301">
            <identifier>14.</identifier>
            <head align="left" preservecase="true">
              <headtext>Language</headtext>
            </head>
            <subclause1 id="a301817">
              <identifier>14.1</identifier>
              <para>
                <paratext>This Agreement is drafted in the English language [and in [LANGUAGE]. If this Agreement is translated into any other language, the English language version shall prevail.</paratext>
              </para>
            </subclause1>
            <subclause1 id="a567349">
              <identifier>14.2</identifier>
              <para>
                <paratext>Any notice given under or in connection with this Agreement shall be in English. All other documents provided under or in connection with this Agreement shall be in English or accompanied by a certified English translation.</paratext>
              </para>
            </subclause1>
            <subclause1 id="a213501">
              <identifier>14.3</identifier>
              <para>
                <paratext>The English language version of this Agreement [and any notice or other document relating to this Agreement] shall prevail if there is a conflict [except where the document is a constitutional, statutory or other official document].</paratext>
              </para>
            </subclause1>
          </clause>
          <clause id="a253666">
            <identifier>15.</identifier>
            <head align="left" preservecase="true">
              <headtext>Warranties</headtext>
            </head>
            <drafting.note id="a543541" jurisdiction="">
              <head align="left" preservecase="true">
                <headtext>Warranties</headtext>
              </head>
              <division id="a000045" level="1">
                <para>
                  <paratext>Although the parties are already under statutory obligations, it will be important to limit any reputational damage for any breach of the data sharing agreement by the other party.</paratext>
                </para>
              </division>
            </drafting.note>
            <subclause1 id="a297563">
              <identifier>15.1</identifier>
              <para>
                <paratext>Each party warrants and undertakes that it will:</paratext>
              </para>
              <subclause2 id="a842760">
                <identifier>(a)</identifier>
                <para>
                  <paratext>Process the Shared Personal Data in compliance with all applicable laws, enactments, regulations, orders, standards and other similar instruments that apply to its Personal Data processing operations.</paratext>
                </para>
              </subclause2>
              <subclause2 id="a382489">
                <identifier>(b)</identifier>
                <para>
                  <paratext>Make available on request to the Data Subjects who are third party beneficiaries a copy of this Agreement, unless the Agreement contains confidential information [in which case an extract can be provided].</paratext>
                </para>
              </subclause2>
              <subclause2 id="a899969">
                <identifier>(c)</identifier>
                <para>
                  <paratext>
                    Respond within [a reasonable time 
                    <bold>OR </bold>
                    [NUMBER] working days] and as far as reasonably possible to enquiries from the Information Commissioner or relevant Supervisory Authority in relation to the Shared Personal Data.
                  </paratext>
                </para>
              </subclause2>
              <subclause2 id="a398954">
                <identifier>(d)</identifier>
                <para>
                  <paratext>Respond to Subject Rights Requests in accordance with the Data Protection Legislation, including where necessary (i) advising the other party of any step(s) it should reasonably take in this regard; and (ii) where the legitimate ground relied upon is a Data Subject's consent, the timely operation of an effective procedure if such consent is withdrawn.</paratext>
                </para>
              </subclause2>
              <subclause2 id="a980889">
                <identifier>(e)</identifier>
                <para>
                  <paratext>
                    Where applicable, [maintain registration 
                    <bold>OR</bold>
                     pay the appropriate fees] with the Information Commissioner and all relevant Supervisory Authorities to process all Shared Personal Data for the Agreed Purpose.
                  </paratext>
                </para>
              </subclause2>
              <subclause2 id="a821561">
                <identifier>(f)</identifier>
                <para>
                  <paratext>
                    Take all appropriate steps to ensure compliance with the security measures set out in 
                    <internal.reference refid="a507947">clause 10</internal.reference>
                     above.
                  </paratext>
                </para>
              </subclause2>
            </subclause1>
            <subclause1 id="a156896">
              <identifier>15.2</identifier>
              <para>
                <paratext>The Data Discloser warrants and undertakes that it is entitled to provide the Shared Personal Data to the Data Receiver and it will ensure that the Shared Personal Data is accurate.</paratext>
              </para>
            </subclause1>
            <subclause1 id="a642043">
              <identifier>15.3</identifier>
              <para>
                <paratext>
                  [The Data Receiver warrants and undertakes that it will not disclose or transfer Shared Personal Data outside the UK [or EEA] 
                  <bold>OR </bold>
                  The Data Receiver warrants and undertakes that it will not disclose or transfer the Shared Personal Data to a third party Controller located outside the UK [or EEA] unless it complies with the obligations set out in 
                  <internal.reference refid="a971192">clause 9.3</internal.reference>
                   above].
                </paratext>
              </para>
            </subclause1>
            <subclause1 id="a943006">
              <identifier>15.4</identifier>
              <para>
                <paratext>Except as expressly stated in this Agreement, all warranties, conditions and terms, whether express or implied by statute, common law or otherwise are hereby excluded to the greatest extent permitted by law.</paratext>
              </para>
            </subclause1>
          </clause>
          <clause condition="optional" id="a296088">
            <identifier>16.</identifier>
            <head align="left" preservecase="true">
              <headtext>Indemnity</headtext>
            </head>
            <drafting.note id="a617461" jurisdiction="">
              <head align="left" preservecase="true">
                <headtext>Indemnity (optional clause)</headtext>
              </head>
              <division id="a000046" level="1">
                <para>
                  <paratext>If this Agreement is being used in conjunction with a commercial agreement, the parties may prefer to include this clause in the commercial agreement.</paratext>
                </para>
                <para>
                  <paratext>This indemnity is an optional commercial clause and it is based on the illustrative commercial indemnity contained in the European Commission's standard contractual clauses (SCCs) under the Data Protection Directive 95/46/EC (Directive SCCs) which remain valid under the UK GDPR until 21 March 2024 (provided they were concluded on or before 21 September 2022).</paratext>
                </para>
                <para>
                  <paratext>
                    See 
                    <internal.reference refid="a584150">Drafting note, Transfers</internal.reference>
                     for information on the European Commission's updated clauses under the EU GDPR.
                  </paratext>
                </para>
                <para>
                  <paratext>An indemnity is not always required because as independent controllers, each is only liable for damages resulting from its own breach. However, this indemnity is important if:</paratext>
                </para>
                <list type="bulleted">
                  <list.item>
                    <para>
                      <paratext>A claim is brought against a party, or that party is found liable, for a breach by the other party.</paratext>
                    </para>
                  </list.item>
                  <list.item>
                    <para>
                      <paratext>The parties have agreed additional commercial obligations which warrant the additional protection afforded by an indemnity. If that is the case, the parties may prefer to include the indemnity in the commercial agreement.</paratext>
                    </para>
                  </list.item>
                </list>
                <para>
                  <paratext>Although normally neither party is responsible for, nor legally liable, the data processing activities of the other, unless the contract establishes that liability, the parties should be aware that any breach by the other party (such as a personal data breach) may reflect on them and cause them reputational damage. Whether an indemnity is included will depend on the level of comfort that the parties want in relation to the data sharing.</paratext>
                </para>
              </division>
            </drafting.note>
            <subclause1 condition="optional" id="a836910">
              <identifier>16.1</identifier>
              <para>
                <paratext>
                  The Data Discloser and Data Receiver undertake to indemnify each other and hold each other harmless from any cost, charge, damages, expense or loss which they cause each other as a result of their breach of any of the provisions of this Agreement, except to the extent that any such liability is excluded under 
                  <internal.reference refid="a683705">clause 18.2</internal.reference>
                  .
                </paratext>
              </para>
            </subclause1>
            <subclause1 condition="optional" id="a186572">
              <identifier>16.2</identifier>
              <para>
                <paratext>Indemnification hereunder is contingent upon:</paratext>
              </para>
              <subclause2 id="a958526">
                <identifier>(a)</identifier>
                <para>
                  <paratext>
                    the party(ies) to be indemnified (the 
                    <defn.term>indemnified party(ies)</defn.term>
                    ) promptly notifying the other party(ies) (the 
                    <defn.term>indemnifying party(ies)</defn.term>
                    ) of a claim,
                  </paratext>
                </para>
              </subclause2>
              <subclause2 id="a419549">
                <identifier>(b)</identifier>
                <para>
                  <paratext>the indemnifying party(ies) having sole control of the defence and settlement of any such claim, and</paratext>
                </para>
              </subclause2>
              <subclause2 id="a325189">
                <identifier>(c)</identifier>
                <para>
                  <paratext>the indemnified party(ies) providing reasonable co-operation and assistance to the indemnifying party(ies) in defence of such claim.</paratext>
                </para>
              </subclause2>
            </subclause1>
          </clause>
          <clause condition="optional" id="a816874">
            <identifier>17.</identifier>
            <head align="left" preservecase="true">
              <headtext>Allocation of cost</headtext>
            </head>
            <drafting.note id="a708713" jurisdiction="">
              <head align="left" preservecase="true">
                <headtext>Allocation of cost (optional clause)</headtext>
              </head>
              <division id="a000047" level="1">
                <para>
                  <paratext>This allocation of costs clause is an optional commercial clause. The clause clarifies that each party will perform its obligations under the Agreement at its own cost.</paratext>
                </para>
                <para>
                  <paratext>This clause is of limited use in practice since, in most cases, this obligation will be implied unless the Agreement between the parties contains a provision to the contrary.</paratext>
                </para>
                <para>
                  <paratext>For further information see:</paratext>
                </para>
                <list type="bulleted">
                  <list.item>
                    <para>
                      <paratext>
                        The drafting notes in 
                        <link href="6-107-3832" style="ACTLinkPLCtoPLC">
                          <ital>Standard clause, Costs</ital>
                        </link>
                        .
                      </paratext>
                    </para>
                  </list.item>
                  <list.item>
                    <para>
                      <paratext>
                        <link anchor="a700815" href="w-014-1583" style="ACTLinkPLCtoPLC">
                          <ital>Practice note, Boilerplate: do I really need this clause and why? Costs</ital>
                        </link>
                        .
                      </paratext>
                    </para>
                  </list.item>
                </list>
              </division>
            </drafting.note>
            <para>
              <paratext>Each party shall perform its obligations under this Agreement at its own cost.</paratext>
            </para>
          </clause>
          <clause id="a549750">
            <identifier>18.</identifier>
            <head align="left" preservecase="true">
              <headtext>Limitation of liability</headtext>
            </head>
            <drafting.note id="a282531" jurisdiction="">
              <head align="left" preservecase="true">
                <headtext>Limitation of liability</headtext>
              </head>
              <division id="a000048" level="1">
                <para>
                  <paratext>If this Agreement is being used in conjunction with a commercial agreement, the parties may prefer to include this clause in the commercial agreement.</paratext>
                </para>
                <para>
                  <paratext>This Agreement may have a bearing on the parties' liability to each other and to any data subjects affected by any non-compliance with data protection legislation.</paratext>
                </para>
                <para>
                  <paratext>
                    This clause is key to management of the data discloser's risk. For a more detailed discussion of these issues, including the potential application of 
                    <link href="7-505-7728" style="ACTLinkPLCtoPLC">
                      <ital>UCTA</ital>
                    </link>
                    , see 
                    <link href="7-107-4789" style="ACTLinkPLCtoPLC">
                      <ital>Practice note: overview, Main issues in software licensing and maintenance contracts</ital>
                    </link>
                    .
                  </paratext>
                </para>
                <para>
                  <paratext>
                    See also, 
                    <link href="w-010-2114" style="ACTLinkPLCtoPLC">
                      <ital>Standard clauses, Limitation of liability</ital>
                    </link>
                     and Practice notes:
                  </paratext>
                </para>
                <list type="bulleted">
                  <list.item>
                    <para>
                      <paratext>
                        <link href="2-520-5359" style="ACTLinkPLCtoPLC">
                          <ital>Limiting liability: drafting and negotiating</ital>
                        </link>
                        .
                      </paratext>
                    </para>
                  </list.item>
                  <list.item>
                    <para>
                      <paratext>
                        <link href="9-617-5230" style="ACTLinkPLCtoPLC">
                          <ital>Limiting liability: statutory and common law controls on limitation clauses</ital>
                        </link>
                        .
                      </paratext>
                    </para>
                  </list.item>
                  <list.item>
                    <para>
                      <paratext>
                        <link href="w-006-5549" style="ACTLinkPLCtoPLC">
                          <ital>Limiting liability: interpretation</ital>
                        </link>
                        .
                      </paratext>
                    </para>
                  </list.item>
                </list>
                <para>
                  <paratext>Ideally, the data discloser would want to exclude all of its liability to the data receiver, but, where UCTA applies, it effectively prevents blanket exclusions and imposes a requirement of reasonableness as to the level of responsibility that the data discloser should bear. Accordingly, you will need to analyse your particular transaction in the light of the case law and possibly adjust the approach outlined below and the clauses themselves to maximise the likelihood of a favourable judicial interpretation.</paratext>
                </para>
                <para>
                  <paratext>However, the validity of these template exclusion and limitation clauses cannot be guaranteed. The courts will always have the final say on validity and they will take account of the particular circumstances. For example, the more actively negotiated a clause is, the more likely it is that it will be held to be valid.) The following commentary should be read in this light.</paratext>
                </para>
                <para>
                  <paratext>The various types of loss have been listed in separate sub-clauses in this standard document rather than continuous prose to make it easier for the courts to sever any that they may regard as invalid. However, note that courts have not shown themselves keen to do this when presented with similar drafting.</paratext>
                </para>
                <para>
                  <paratext>This Agreement does not include a cap on liability.</paratext>
                </para>
              </division>
            </drafting.note>
            <subclause1 id="a512102">
              <identifier>18.1</identifier>
              <para>
                <paratext>Neither party excludes or limits liability to the other party for:</paratext>
              </para>
              <subclause2 id="a733358">
                <identifier>(a)</identifier>
                <para>
                  <paratext>fraud or fraudulent misrepresentation;</paratext>
                </para>
              </subclause2>
              <subclause2 id="a328172">
                <identifier>(b)</identifier>
                <para>
                  <paratext>death or personal injury caused by negligence;</paratext>
                </para>
              </subclause2>
              <subclause2 id="a697688">
                <identifier>(c)</identifier>
                <para>
                  <paratext>a breach of any obligations implied by section 12 of the Sale of Goods Act 1979 or section 2 of the Supply of Goods and Services Act 1982; or</paratext>
                </para>
              </subclause2>
              <subclause2 id="a887036">
                <identifier>(d)</identifier>
                <para>
                  <paratext>any matter for which it would be unlawful for the parties to exclude liability.</paratext>
                </para>
                <drafting.note id="a355216" jurisdiction="">
                  <head align="left" preservecase="true">
                    <headtext>No exclusion or limitation</headtext>
                  </head>
                  <division id="a000049" level="1">
                    <para>
                      <paratext>
                        There are various types of loss for which liability must remain unlimited, because the law prevents them being excluded. 
                        <internal.reference refid="a512102">Clause 18.1</internal.reference>
                         states that death or personal injury arising from negligence cannot be excluded (
                        <link href="4-506-5560" style="ACTLinkPLCtoPLC">
                          <ital>section 2</ital>
                        </link>
                        <ital>, UCTA</ital>
                        ), nor can liability for fraud or fraudulent misrepresentation (
                        <link href="D-008-7730" style="ACTLinkPLCtoPLC">
                          <ital>Thomas Witter Ltd v TBP Industries Ltd [1996] 2 All ER 573</ital>
                        </link>
                        ).
                      </paratext>
                    </para>
                    <para>
                      <paratext>
                        <internal.reference refid="a512102">Clause 18.1</internal.reference>
                         also states that the obligations implied by 
                        <link href="7-508-2520" style="ACTLinkPLCtoPLC">
                          <ital>section 12</ital>
                        </link>
                         of the Sale of Goods Act 1979 and 
                        <link href="9-507-2935" style="ACTLinkPLCtoPLC">
                          <ital>section 2</ital>
                        </link>
                         of the Supply of Goods and Services Act 1982 relating to title of property are not excluded (
                        <link href="8-507-2870" style="ACTLinkPLCtoPLC">
                          <ital>sections 6(1)</ital>
                        </link>
                        <ital> and </ital>
                        <link href="6-507-2871" style="ACTLinkPLCtoPLC">
                          <ital>7(3)</ital>
                        </link>
                        <ital>, UCTA</ital>
                        ).
                      </paratext>
                    </para>
                    <para>
                      <paratext>
                        For further information see 
                        <link anchor="a410580" href="w-010-2114" style="ACTLinkPLCtoPLC">
                          <ital>Standard clauses, Limitation of liability: Liabilities which cannot be legally limited</ital>
                        </link>
                        .
                      </paratext>
                    </para>
                  </division>
                </drafting.note>
              </subclause2>
            </subclause1>
            <subclause1 id="a683705">
              <identifier>18.2</identifier>
              <para>
                <paratext>Subject to clause 18.1, neither party shall in any circumstances be liable whether in contract, tort (including for negligence and breach of statutory duty howsoever arising), misrepresentation (whether innocent or negligent), restitution or otherwise, for:</paratext>
              </para>
              <subclause2 id="a755096">
                <identifier>(a)</identifier>
                <para>
                  <paratext>any loss (whether direct or indirect) of profits, business, business opportunities, revenue, turnover, reputation or goodwill;</paratext>
                </para>
              </subclause2>
              <subclause2 id="a486640">
                <identifier>(b)</identifier>
                <para>
                  <paratext>loss (whether direct or indirect) of anticipated savings or wasted expenditure (including management time); or</paratext>
                </para>
              </subclause2>
              <subclause2 id="a939325">
                <identifier>(c)</identifier>
                <para>
                  <paratext>any loss or liability (whether direct or indirect) under or in relation to any other contract.</paratext>
                </para>
                <drafting.note id="a564291" jurisdiction="">
                  <head align="left" preservecase="true">
                    <headtext>Exclusions</headtext>
                  </head>
                  <division id="a000050" level="1">
                    <para>
                      <paratext>
                        <internal.reference refid="a683705">Clause 18.2</internal.reference>
                         seeks to exclude various categories of loss.
                      </paratext>
                    </para>
                    <para>
                      <paratext>
                        The distinction between direct and indirect loss is not clear cut, and there is no easy formulation to determine on which side of the line a particular category or type of loss falls in any specific case. A particular difficulty arises when deciding whether loss of profits is direct or indirect. Recent case law has tended to hold that loss of profits can be a direct loss. In a limitation of liability clause such as this, if it is the parties' intention to exclude all loss of profit, this needs to be done in a way that does not link lost profit with indirect loss. Otherwise, direct loss of profit is unlikely to be excluded, since exclusion clauses are interpreted by the courts 
                        <ital>contra proferentem</ital>
                        , that is, against the person seeking to rely on it.
                      </paratext>
                    </para>
                    <para>
                      <paratext>
                        For further information see 
                        <link href="w-010-2114" style="ACTLinkPLCtoPLC">
                          <ital>Standard clauses, Limitation of liability</ital>
                        </link>
                         and Practice notes:
                      </paratext>
                    </para>
                    <list type="bulleted">
                      <list.item>
                        <para>
                          <paratext>
                            <link anchor="a953034" href="0-107-3646" style="ACTLinkPLCtoPLC">
                              <ital>Supply of goods contracts: overview: What can we exclude?</ital>
                            </link>
                          </paratext>
                        </para>
                      </list.item>
                      <list.item>
                        <para>
                          <paratext>
                            <link anchor="a464456" href="w-006-5549" style="ACTLinkPLCtoPLC">
                              <ital>Limitation of liability: Interpretation: "Indirect and consequential loss"</ital>
                            </link>
                            .
                          </paratext>
                        </para>
                      </list.item>
                      <list.item>
                        <para>
                          <paratext>
                            <link anchor="a68101" href="9-617-5230" style="ACTLinkPLCtoPLC">
                              <ital>Limiting liability: statutory and common law controls on limitation clauses: Indirect or consequential loss: strange interpretation</ital>
                            </link>
                            .
                          </paratext>
                        </para>
                      </list.item>
                    </list>
                  </division>
                </drafting.note>
              </subclause2>
            </subclause1>
            <subclause1 id="a736818">
              <identifier>18.3</identifier>
              <para>
                <paratext>
                  <internal.reference refid="a683705">Clause 18.2</internal.reference>
                   shall not prevent claims, for:
                </paratext>
              </para>
              <subclause2 id="a399142">
                <identifier>(a)</identifier>
                <para>
                  <paratext>
                    direct financial loss that are not excluded under any of the categories set out in 
                    <internal.reference refid="a755096">clause 18.2(a)</internal.reference>
                    ; or
                  </paratext>
                </para>
              </subclause2>
              <subclause2 id="a676169">
                <identifier>(b)</identifier>
                <para>
                  <paratext>tangible property or physical damage.</paratext>
                </para>
              </subclause2>
            </subclause1>
          </clause>
          <clause condition="optional" id="a590473">
            <identifier>19.</identifier>
            <head align="left" preservecase="true">
              <headtext>Third party rights</headtext>
            </head>
            <drafting.note id="a383732" jurisdiction="">
              <head align="left" preservecase="true">
                <headtext>Third party rights (optional clause)</headtext>
              </head>
              <division id="a000051" level="1">
                <para>
                  <paratext>
                    This clause excludes rights under the 
                    <link href="9-505-5610" style="ACTLinkPLCtoPLC">
                      <ital>Contracts (Rights of Third Parties) Act 1999</ital>
                    </link>
                    . It is optional and gives the data subjects direct rights of enforcement in contract in respect of the provisions referred to in 
                    <internal.reference refid="a187657">clause 7</internal.reference>
                     and any other clauses that are specifically included.
                  </paratext>
                </para>
                <para>
                  <paratext>The European Commission's standard contractual clauses under the Data Protection Directive 95/46/EC (Directive SCCs) include something similar in order to advocate good data protection practice, which are currently still valid under the UK GDPR until 21 March 2024 (provided they were concluded on or before 21 September 2022).</paratext>
                </para>
                <para>
                  <paratext>
                    For information on the European Commission's EU SCCs under the EU GDPR see 
                    <internal.reference refid="a584150">Drafting note, Transfers</internal.reference>
                    .
                  </paratext>
                </para>
                <para>
                  <paratext>This does not mean that the parties would be likely, or indeed should accept similar obligations (they are rather burdensome) in an agreement over which they have commercial control, and which does not involve a data transfer. They may still want to include this clause to show good data stewardship, but this is likely to be subject to negotiation. The parties should consider whether they require any other entities to have similar rights to enforce (such as affiliates).</paratext>
                </para>
                <para>
                  <paratext>The second option in 19.2, which says "No one other than a party to this Agreement [, their successors and permitted assignees,] shall have any right to enforce any of its terms.]", excludes all third party rights.</paratext>
                </para>
                <para>
                  <paratext>For further information, see:</paratext>
                </para>
                <list type="bulleted">
                  <list.item>
                    <para>
                      <paratext>
                        <link href="6-107-3846" style="ACTLinkPLCtoPLC">
                          <ital>Standard clause, Third party rights</ital>
                        </link>
                        .
                      </paratext>
                    </para>
                  </list.item>
                  <list.item>
                    <para>
                      <paratext>
                        <link anchor="a867788" href="w-014-1583" style="ACTLinkPLCtoPLC">
                          <ital>Practice note, Boilerplate: do I really need this clause and why?: Third party rights</ital>
                        </link>
                        .
                      </paratext>
                    </para>
                  </list.item>
                </list>
              </division>
            </drafting.note>
            <subclause1 condition="optional" id="a959443">
              <identifier>19.1</identifier>
              <para>
                <paratext>
                  Except as expressly provided in 
                  <internal.reference refid="a187657">clause 7</internal.reference>
                   (data subjects rights) and [in clauses [NUMBER] 
                  <bold>OR</bold>
                   elsewhere in this Agreement], a person who is not a party to this Agreement shall not have any rights under the Contracts (Rights of Third Parties) Act 1999 to enforce any term of this Agreement. [This does not affect any right or remedy of a third party which exists, or is available, apart from that Act.]
                </paratext>
              </para>
            </subclause1>
            <subclause1 condition="optional" id="a791405">
              <identifier>19.2</identifier>
              <para>
                <paratext>[The rights of the parties to terminate, rescind or agree any variation, waiver or settlement under this Agreement are not subject to the consent of any other person.</paratext>
              </para>
              <para>
                <paratext>
                  <bold>OR</bold>
                </paratext>
              </para>
              <para>
                <paratext>No one other than a party to this Agreement [, their successors and permitted assignees,] shall have any right to enforce any of its provisions.]</paratext>
              </para>
            </subclause1>
          </clause>
          <clause condition="optional" id="a801180">
            <identifier>20.</identifier>
            <head align="left" preservecase="true">
              <headtext>Direct marketing</headtext>
            </head>
            <drafting.note id="a384899" jurisdiction="">
              <head align="left" preservecase="true">
                <headtext>Direct marketing (optional clause)</headtext>
              </head>
              <division id="a000052" level="1">
                <para>
                  <paratext>
                    This is an optional clause that can be used if the disclosure is for the purposes of direct marketing. Whether it is included depends on the level of comfort the parties require from the contract, rather than for legal compliance. Whilst we have assumed in this agreement that we are dealing with an organisation based solely in the UK which does not provide goods or services to EU data subjects or monitor their behaviour, the wording is that prescribed by the European Commission's Standard contractual clauses (SCCs) controller to controller made under the Data Protection Directive 95/46/EC (Directive SCCs) which remain in place under the UK GDPR until 21 March 2024 (provided they were concluded on or before 21 September 2022).  For further information on international transfers, see 
                    <internal.reference refid="a584150">Drafting note, Transfers</internal.reference>
                    .
                  </paratext>
                </para>
                <para>
                  <paratext>
                    Under this clause the data receiver is under an obligation to allow data subjects to object at any time to having their data used for the purposes of direct marketing. For further information see 
                    <link href="w-014-7457" style="ACTLinkPLCtoPLC">
                      <ital>Practice notes, Direct marketing and data protection: consent and preference services (UK</ital>
                    </link>
                    ), 
                    <link href="w-011-4000" style="ACTLinkPLCtoPLC">
                      <ital>Direct marketing: advertising, consumer protection and e-commerce rules</ital>
                    </link>
                     and the ICO's Direct Marketing Guide (see 
                    <link href="w-037-8195" style="ACTLinkPLCtoPLC">
                      <ital>Legal update, ICO publishes new direct marketing guidance and resources</ital>
                    </link>
                    ), which provide helpful guidance on obtaining data subject's consent where the disclosure is for direct marketing purposes.
                  </paratext>
                </para>
                <para>
                  <paratext>
                    The ICO is consulting on a draft direct marketing code of practice and the consultation closed on 4 March 2020.  Section 122 of the DPA 2018, requires the ICO to consult on and publish a code of practice, thereby putting it on a statutory footing, with more power (see 
                    <link href="w-023-5258" style="ACTLinkPLCtoPLC">
                      <ital>Legal update, ICO launches consultation on draft direct marketing code</ital>
                    </link>
                    )
                  </paratext>
                </para>
                <para>
                  <paratext>
                    To satisfy 
                    <internal.reference refid="a781788">clause 20(a)</internal.reference>
                    , this would extend to the provision of information to individuals informing them that their personal data will be processed for direct marketing purposes and by which organisation (see 
                    <link href="1-618-5558" style="ACTLinkPLCtoPLC">
                      <ital>Legal updates, First-tier Tribunal dismisses Optical Express appeal on direct marketing texts</ital>
                    </link>
                     and 
                    <link href="0-619-6133" style="ACTLinkPLCtoPLC">
                      <ital>ICO issues £130,000 fine for breach of first data protection principle</ital>
                    </link>
                    ).
                  </paratext>
                </para>
                <para>
                  <paratext>
                    The European Commission is reviewing the 
                    <link href="2-507-2632" style="ACTLinkPLCtoPLC">
                      <ital>E-Privacy Directive</ital>
                    </link>
                    , implemented in the UK by 
                    <link href="1-507-2637" style="ACTLinkPLCtoPLC">
                      <ital>PECR</ital>
                    </link>
                     and whilst this will no longer be directly applicable in the UK once its finalised, direct marketers in the UK should be aware of its requirements in view of its wide territorial scope and for any deviations from the UK regime. For further information, see 
                    <internal.reference refid="a260443">Drafting note, Review of the E-Privacy Directive and Brexit</internal.reference>
                     and 
                    <link anchor="a321955" href="w-013-3757" style="ACTLinkPLCtoPLC">
                      <ital>Practice note, Overview of UK GDPR: Direct marketing and draft E-Privacy Regulation</ital>
                    </link>
                    .
                  </paratext>
                </para>
              </division>
            </drafting.note>
            <subclause1 condition="optional" id="a540492">
              <para>
                <paratext>If the Data Receiver processes the Shared Personal Data for the purposes of direct marketing, each party shall ensure that:</paratext>
              </para>
              <subclause2 id="a781788">
                <identifier>(a)</identifier>
                <para>
                  <paratext>the appropriate level of consent has been obtained from the relevant Data Subjects to allow the Shared Personal Data to be used for the purposes of direct marketing in compliance with the Data Protection Legislation; and</paratext>
                </para>
              </subclause2>
              <subclause2 id="a524855">
                <identifier>(b)</identifier>
                <para>
                  <paratext>effective procedures are in place to allow the Data Subject to "opt-out" from having their Shared Personal Data used for such direct marketing purposes.</paratext>
                </para>
              </subclause2>
            </subclause1>
          </clause>
          <clause id="a948289">
            <identifier>21.</identifier>
            <head align="left" preservecase="true">
              <headtext>Variation</headtext>
            </head>
            <drafting.note id="a381118" jurisdiction="">
              <head align="left" preservecase="true">
                <headtext>Variation</headtext>
              </head>
              <division id="a000053" level="1">
                <para>
                  <paratext>For further information, see:</paratext>
                </para>
                <list type="bulleted">
                  <list.item>
                    <para>
                      <paratext>
                        <link href="3-107-3838" style="ACTLinkPLCtoPLC">
                          <ital>Standard clause, Variation</ital>
                        </link>
                        .
                      </paratext>
                    </para>
                  </list.item>
                  <list.item>
                    <para>
                      <paratext>
                        <link anchor="a436667" href="w-014-1583" style="ACTLinkPLCtoPLC">
                          <ital>Practice note, Boilerplate: do I really need this clause and why? Variation</ital>
                        </link>
                        .
                      </paratext>
                    </para>
                  </list.item>
                </list>
              </division>
            </drafting.note>
            <subclause1 id="a480279">
              <para>
                <paratext>No variation of this Agreement shall be effective unless it is in writing and signed by the parties (or their authorised representatives).</paratext>
              </para>
            </subclause1>
          </clause>
          <clause id="a891751">
            <identifier>22.</identifier>
            <head align="left" preservecase="true">
              <headtext>Waiver</headtext>
            </head>
            <drafting.note id="a976627" jurisdiction="">
              <head align="left" preservecase="true">
                <headtext>Waiver</headtext>
              </head>
              <division id="a000054" level="1">
                <para>
                  <paratext>For further information and an alternative clause, see:</paratext>
                </para>
                <list type="bulleted">
                  <list.item>
                    <para>
                      <paratext>
                        <link href="0-107-3806" style="ACTLinkPLCtoPLC">
                          <ital>Standard clause, Waiver</ital>
                        </link>
                        .
                      </paratext>
                    </para>
                  </list.item>
                  <list.item>
                    <para>
                      <paratext>
                        <link anchor="a947318" href="w-014-1583" style="ACTLinkPLCtoPLC">
                          <ital>Practice note, Boilerplate: do I really need this clause and why?: Waiver</ital>
                        </link>
                        .
                      </paratext>
                    </para>
                  </list.item>
                </list>
              </division>
            </drafting.note>
            <subclause1 id="a750473">
              <para>
                <paratext>No failure or delay by a party to exercise any right or remedy provided under this Agreement or by law shall constitute a waiver of that or any other right or remedy, nor shall it prevent or restrict the further exercise of that or any other right or remedy. No single or partial exercise of such right or remedy shall prevent or restrict the further exercise of that or any other right or remedy.</paratext>
              </para>
            </subclause1>
          </clause>
          <clause id="a504786">
            <identifier>23.</identifier>
            <head align="left" preservecase="true">
              <headtext>Severance</headtext>
            </head>
            <drafting.note id="a703915" jurisdiction="">
              <head align="left" preservecase="true">
                <headtext>Severance</headtext>
              </head>
              <division id="a000055" level="1">
                <para>
                  <paratext>For further information, see:</paratext>
                </para>
                <list type="bulleted">
                  <list.item>
                    <para>
                      <paratext>
                        <link href="9-107-3840" style="ACTLinkPLCtoPLC">
                          <ital>Standard clause, Severance</ital>
                        </link>
                        .
                      </paratext>
                    </para>
                  </list.item>
                  <list.item>
                    <para>
                      <paratext>
                        <link anchor="a117161" href="w-014-1583" style="ACTLinkPLCtoPLC">
                          <ital>Practice note, Boilerplate: do I really need this clause and why? Severance</ital>
                        </link>
                        .
                      </paratext>
                    </para>
                  </list.item>
                </list>
              </division>
            </drafting.note>
            <subclause1 id="a361010">
              <identifier>23.1</identifier>
              <para>
                <paratext>If any provision or part-provision of this Agreement is or becomes invalid, illegal or unenforceable, it shall be deemed deleted, but that shall not affect the validity and enforceability of the rest of this Agreement.</paratext>
              </para>
            </subclause1>
            <subclause1 id="a785460">
              <identifier>23.2</identifier>
              <para>
                <paratext>
                  If any provision or part-provision of this Agreement is deemed deleted under 
                  <internal.reference refid="a361010">clause 23.1</internal.reference>
                  , the parties shall negotiate in good faith to agree a replacement provision that, to the greatest extent possible, achieves the intended commercial result of the original provision.
                </paratext>
              </para>
            </subclause1>
          </clause>
          <clause id="a209402">
            <identifier>24.</identifier>
            <head align="left" preservecase="true">
              <headtext>Changes to the applicable law</headtext>
            </head>
            <drafting.note id="a154317" jurisdiction="">
              <head align="left" preservecase="true">
                <headtext>Changes to applicable law</headtext>
              </head>
              <division id="a000056" level="1">
                <para>
                  <paratext>
                    The European Commission is reviewing the 
                    <link href="2-507-2632" style="ACTLinkPLCtoPLC">
                      <ital>E-Privacy Directive (2002/58/EC)</ital>
                    </link>
                    , implemented in the UK by the 
                    <link href="1-507-2637" style="ACTLinkPLCtoPLC">
                      <ital>Privacy and Electronic Communications Regulations (SI 2003/2426)</ital>
                    </link>
                     (as amended) (PECR).
                  </paratext>
                </para>
                <para>
                  <paratext>
                    For further information see 
                    <internal.reference refid="a260443">Drafting note, Review of the E-Privacy Directive and Brexit</internal.reference>
                     and 
                    <link anchor="a321955" href="w-013-3757" style="ACTLinkPLCtoPLC">
                      <ital>Practice note, Overview of UK GDPR: Direct marketing and draft E-Privacy Regulation</ital>
                    </link>
                    .
                  </paratext>
                </para>
              </division>
            </drafting.note>
            <subclause1 id="a302281">
              <para>
                <paratext>If during the Term of this Agreement the Data Protection Legislation change in a way that the Agreement is no longer adequate for the purpose of governing lawful data sharing exercises, the parties agree that the SPoCs will negotiate in good faith to review the Agreement in the light of the changes.</paratext>
              </para>
            </subclause1>
          </clause>
          <clause id="a511917">
            <identifier>25.</identifier>
            <head align="left" preservecase="true">
              <headtext>No partnership or agency</headtext>
            </head>
            <drafting.note id="a725673" jurisdiction="">
              <head align="left" preservecase="true">
                <headtext>No partnership or agency</headtext>
              </head>
              <division id="a000057" level="1">
                <para>
                  <paratext>For further information, see:</paratext>
                </para>
                <list type="bulleted">
                  <list.item>
                    <para>
                      <paratext>
                        <link href="4-107-3814" style="ACTLinkPLCtoPLC">
                          <ital>Standard clause, No partnership or agency</ital>
                        </link>
                        .
                      </paratext>
                    </para>
                  </list.item>
                  <list.item>
                    <para>
                      <paratext>
                        <link anchor="a358774" href="w-014-1583" style="ACTLinkPLCtoPLC">
                          <ital>Practice note, Boilerplate: do I really need this clause and why? No partnership or agency</ital>
                        </link>
                        .
                      </paratext>
                    </para>
                  </list.item>
                </list>
              </division>
            </drafting.note>
            <subclause1 id="a237856">
              <identifier>25.1</identifier>
              <para>
                <paratext>Nothing in this Agreement is intended to, or shall be deemed to, establish any partnership or joint venture between any of the parties, constitute any party the agent of another party, or authorise any party to make or enter into any commitments for or on behalf of any other party [except as expressly provided in clause[s] [NUMBER(S)]].</paratext>
              </para>
            </subclause1>
            <subclause1 id="a401799">
              <identifier>25.2</identifier>
              <para>
                <paratext>Each party confirms it is acting on its own behalf and not for the benefit of any other person.</paratext>
              </para>
            </subclause1>
          </clause>
          <clause id="a255402">
            <identifier>26.</identifier>
            <head align="left" preservecase="true">
              <headtext>Entire agreement</headtext>
            </head>
            <drafting.note id="a103680" jurisdiction="">
              <head align="left" preservecase="true">
                <headtext>Entire agreement</headtext>
              </head>
              <division id="a000058" level="1">
                <para>
                  <paratext>For further information, see:</paratext>
                </para>
                <list type="bulleted">
                  <list.item>
                    <para>
                      <paratext>
                        <link href="2-107-3834" style="ACTLinkPLCtoPLC">
                          <ital>Standard clause, Entire agreement</ital>
                        </link>
                        .
                      </paratext>
                    </para>
                  </list.item>
                  <list.item>
                    <para>
                      <paratext>
                        <link anchor="a102696" href="w-014-1583" style="ACTLinkPLCtoPLC">
                          <ital>Practice note, Boilerplate: do I really need this clause and why? Entire agreement</ital>
                        </link>
                        .
                      </paratext>
                    </para>
                  </list.item>
                </list>
              </division>
            </drafting.note>
            <subclause1 id="a731795">
              <identifier>26.1</identifier>
              <para>
                <paratext>This Agreement constitutes the entire agreement between the parties and supersedes and extinguishes all previous agreements, promises, assurances, warranties, representations and understandings between them, whether written or oral, relating to its subject matter.</paratext>
              </para>
            </subclause1>
            <subclause1 id="a880641">
              <identifier>26.2</identifier>
              <para>
                <paratext>Each party acknowledges that in entering into this Agreement it does not rely on, and shall have no remedies in respect of any statement, representation, assurance or warranty (whether made innocently or negligently) that is not set out in this Agreement.</paratext>
              </para>
            </subclause1>
            <subclause1 id="a537767">
              <identifier>26.3</identifier>
              <para>
                <paratext>Each party agrees that it shall have no claim for innocent or negligent misrepresentation based on any statement in this Agreement.</paratext>
              </para>
            </subclause1>
          </clause>
          <clause id="a510401">
            <identifier>27.</identifier>
            <head align="left" preservecase="true">
              <headtext>Further assurance</headtext>
            </head>
            <drafting.note id="a468053" jurisdiction="">
              <head align="left" preservecase="true">
                <headtext>Further assurance</headtext>
              </head>
              <division id="a000059" level="1">
                <para>
                  <paratext>For further information, see:</paratext>
                </para>
                <list type="bulleted">
                  <list.item>
                    <para>
                      <paratext>
                        <link href="9-107-3816" style="ACTLinkPLCtoPLC">
                          <ital>Standard clause, Further assurance</ital>
                        </link>
                        .
                      </paratext>
                    </para>
                  </list.item>
                  <list.item>
                    <para>
                      <paratext>
                        <link anchor="a406779" href="w-014-1583" style="ACTLinkPLCtoPLC">
                          <ital>Practice note, Boilerplate: do I really need this clause and why? Further assurance</ital>
                        </link>
                        .
                      </paratext>
                    </para>
                  </list.item>
                </list>
              </division>
            </drafting.note>
            <subclause1 id="a135817">
              <para>
                <paratext>
                  [At its own expense, each 
                  <bold>OR</bold>
                   Each] party shall, and shall use all reasonable endeavours to procure that any necessary third party shall, [promptly] execute and deliver such documents and perform such acts as may [reasonably] be required for the purpose of giving full effect to this Agreement.
                </paratext>
              </para>
            </subclause1>
          </clause>
          <clause id="a365744">
            <identifier>28.</identifier>
            <head align="left" preservecase="true">
              <headtext>Force majeure</headtext>
            </head>
            <drafting.note id="a125469" jurisdiction="">
              <head align="left" preservecase="true">
                <headtext>Force majeure</headtext>
              </head>
              <division id="a000060" level="1">
                <para>
                  <paratext>For further information, see:</paratext>
                </para>
                <list type="bulleted">
                  <list.item>
                    <para>
                      <paratext>
                        <link href="6-107-3808" style="ACTLinkPLCtoPLC">
                          <ital>Standard clause, Force majeure (short form)</ital>
                        </link>
                        .
                      </paratext>
                    </para>
                  </list.item>
                  <list.item>
                    <para>
                      <paratext>
                        <link href="w-025-0734" style="ACTLinkPLCtoPLC">
                          <ital>Standard document, Notice of force majeure termination of contract (by obligee)</ital>
                        </link>
                        .
                      </paratext>
                    </para>
                  </list.item>
                  <list.item>
                    <para>
                      <paratext>
                        <link href="w-024-8881" style="ACTLinkPLCtoPLC">
                          <ital>Standard document, Notice of force majeure event</ital>
                        </link>
                        .
                      </paratext>
                    </para>
                  </list.item>
                  <list.item>
                    <para>
                      <paratext>
                        <link href="w-024-9082" style="ACTLinkPLCtoPLC">
                          <ital>Standard document, Notice of frustration of contract</ital>
                        </link>
                        .
                      </paratext>
                    </para>
                  </list.item>
                  <list.item>
                    <para>
                      <paratext>
                        <link anchor="a226743" href="w-014-1583" style="ACTLinkPLCtoPLC">
                          <ital>Practice note, Boilerplate: do I really need this clause and why? Force majeure</ital>
                        </link>
                        .
                      </paratext>
                    </para>
                  </list.item>
                </list>
              </division>
            </drafting.note>
            <subclause1 id="a195128">
              <para>
                <paratext>
                  Neither party shall be in breach of this Agreement nor liable for delay in performing, or failure to perform, any of its obligations under this Agreement if such delay or failure result from events, circumstances or causes beyond its reasonable control. In such circumstances [the time for performance shall be extended by a period equivalent to the period during which performance of the obligation has been delayed or failed to be performed 
                  <bold>OR</bold>
                   the affected party shall be entitled to a reasonable extension of the time for performing such obligations]. If the period of delay or non-performance continues for [NUMBER] [weeks 
                  <bold>OR</bold>
                   months], the party not affected may terminate its involvement this Agreement by giving [NUMBER] [days'] written notice to the affected party.
                </paratext>
              </para>
            </subclause1>
          </clause>
          <clause id="a127730">
            <identifier>29.</identifier>
            <head align="left" preservecase="true">
              <headtext>Rights and remedies</headtext>
            </head>
            <drafting.note id="a481349" jurisdiction="">
              <head align="left" preservecase="true">
                <headtext>Rights and remedies</headtext>
              </head>
              <division id="a000061" level="1">
                <para>
                  <paratext>For further information, see:</paratext>
                </para>
                <list type="bulleted">
                  <list.item>
                    <para>
                      <paratext>
                        <link href="2-203-0725" style="ACTLinkPLCtoPLC">
                          <ital>Standard clause, Rights and remedies</ital>
                        </link>
                        .
                      </paratext>
                    </para>
                  </list.item>
                  <list.item>
                    <para>
                      <paratext>
                        <link anchor="a778211" href="w-014-1583" style="ACTLinkPLCtoPLC">
                          <ital>Practice note, Boilerplate: do I really need this clause and why? Rights and remedies</ital>
                        </link>
                        .
                      </paratext>
                    </para>
                  </list.item>
                </list>
              </division>
            </drafting.note>
            <subclause1 id="a227203">
              <para>
                <paratext>
                  [Except as expressly provided in this Agreement, the 
                  <bold>OR</bold>
                   The] rights and remedies provided under this Agreement are in addition to, and not exclusive of, any rights or remedies provided by law.
                </paratext>
              </para>
            </subclause1>
          </clause>
          <clause id="a292865">
            <identifier>30.</identifier>
            <head align="left" preservecase="true">
              <headtext>Notice</headtext>
            </head>
            <drafting.note id="a546382" jurisdiction="">
              <head align="left" preservecase="true">
                <headtext>Notice</headtext>
              </head>
              <division id="a000062" level="1">
                <para>
                  <paratext>For further information, see:</paratext>
                </para>
                <list type="bulleted">
                  <list.item>
                    <para>
                      <paratext>
                        <link href="5-107-3842" style="ACTLinkPLCtoPLC">
                          <ital>Standard clause, Notices</ital>
                        </link>
                        <ital>.</ital>
                      </paratext>
                    </para>
                  </list.item>
                  <list.item>
                    <para>
                      <paratext>
                        <link href="3-107-3843" style="ACTLinkPLCtoPLC">
                          <ital>Practice note, Notice clauses</ital>
                        </link>
                        .
                      </paratext>
                    </para>
                  </list.item>
                  <list.item>
                    <para>
                      <paratext>
                        <link anchor="a616007" href="w-014-1583" style="ACTLinkPLCtoPLC">
                          <ital>Practice note, Boilerplate: do I really need this clause and why? Notices</ital>
                        </link>
                        .
                      </paratext>
                    </para>
                  </list.item>
                </list>
              </division>
            </drafting.note>
            <subclause1 id="a272833">
              <identifier>30.1</identifier>
              <para>
                <paratext>Any notice [or other communication] given to a party under or in connection with this Agreement shall be in writing, addressed to the SPoCs and shall be:</paratext>
              </para>
              <subclause2 id="a938745">
                <identifier>(a)</identifier>
                <para>
                  <paratext>delivered by hand or by pre-paid first-class post or other next working day delivery service at its registered office (if a company) or its principal place of business (in any other case); or</paratext>
                </para>
              </subclause2>
              <subclause2 id="a974096">
                <identifier>(b)</identifier>
                <para>
                  <paratext>
                    [[sent by fax to its main fax number] [or] 
                    <bold>OR</bold>
                     sent by email to the SPoC].
                  </paratext>
                </para>
              </subclause2>
            </subclause1>
            <subclause1 id="a303426">
              <identifier>30.2</identifier>
              <para>
                <paratext>Any notice [or communication] shall be deemed to have been received:</paratext>
              </para>
              <subclause2 id="a863343">
                <identifier>(a)</identifier>
                <para>
                  <paratext>if delivered by hand, on signature of a delivery receipt [or at the time the notice is left at the proper address]; [and]</paratext>
                </para>
              </subclause2>
              <subclause2 id="a510012">
                <identifier>(b)</identifier>
                <para>
                  <paratext>if sent by [pre-paid first-class post or other] next working day delivery service, at [9.00 am] on the [second] Business Day after posting [or at the time recorded by the delivery service] [and]</paratext>
                </para>
              </subclause2>
              <subclause2 id="a288852">
                <identifier>(c)</identifier>
                <para>
                  <paratext>
                    if sent by [fax] [or] [email], at the time of transmission, or if this time falls outside business hours in the place of receipt, when business hours resume. In this 
                    <internal.reference refid="a288852">clause 30.2(c)</internal.reference>
                    , business hours means 9:00 am to 5:00 pm Monday to Friday on a day that is not a public holiday in the place of receipt.
                  </paratext>
                </para>
              </subclause2>
            </subclause1>
            <subclause1 id="a159504">
              <identifier>30.3</identifier>
              <para>
                <paratext>This clause does not apply to the service of any proceedings or other documents in any legal action or, where applicable, any arbitration or other method of dispute resolution</paratext>
              </para>
            </subclause1>
            <subclause1 condition="optional" id="a132902">
              <identifier>30.4</identifier>
              <para>
                <paratext>A notice given under this Agreement is not valid if sent by email.</paratext>
              </para>
            </subclause1>
          </clause>
          <clause id="a138132">
            <identifier>31.</identifier>
            <head align="left" preservecase="true">
              <headtext>Governing law</headtext>
            </head>
            <drafting.note id="a890708" jurisdiction="">
              <head align="left" preservecase="true">
                <headtext>Governing law</headtext>
              </head>
              <division id="a000063" level="1">
                <para>
                  <paratext>For further information see:</paratext>
                </para>
                <list type="bulleted">
                  <list.item>
                    <para>
                      <paratext>
                        <link href="8-107-3850" style="ACTLinkPLCtoPLC">
                          <ital>Standard clause, Governing law</ital>
                        </link>
                        <ital>.</ital>
                      </paratext>
                    </para>
                  </list.item>
                  <list.item>
                    <para>
                      <paratext>
                        <link href="4-107-3852" style="ACTLinkPLCtoPLC">
                          <ital>Practice note, Governing law and jurisdiction clauses</ital>
                        </link>
                        .
                      </paratext>
                    </para>
                  </list.item>
                  <list.item>
                    <para>
                      <paratext>
                        <link anchor="a742310" href="w-014-1583" style="ACTLinkPLCtoPLC">
                          <ital>Practice note, Boilerplate: do I really need this clause and why? Governing law</ital>
                        </link>
                        .
                      </paratext>
                    </para>
                  </list.item>
                </list>
              </division>
            </drafting.note>
            <subclause1 id="a481070">
              <para>
                <paratext>This Agreement and any dispute or claim (including non-contractual disputes or claims) arising out of or in connection with it or its subject matter or formation shall be governed by and construed in accordance with the law of England and Wales.</paratext>
              </para>
            </subclause1>
          </clause>
          <clause id="a329414">
            <identifier>32.</identifier>
            <head align="left" preservecase="true">
              <headtext>Jurisdiction</headtext>
            </head>
            <drafting.note id="a757162" jurisdiction="">
              <head align="left" preservecase="true">
                <headtext>Jurisdiction</headtext>
              </head>
              <division id="a000064" level="1">
                <para>
                  <paratext>For further information see:</paratext>
                </para>
                <list type="bulleted">
                  <list.item>
                    <para>
                      <paratext>
                        <link href="9-522-6848" style="ACTLinkPLCtoPLC">
                          <ital>Standard clause, Jurisdiction</ital>
                        </link>
                        <ital>.</ital>
                      </paratext>
                    </para>
                  </list.item>
                  <list.item>
                    <para>
                      <paratext>
                        <link href="4-107-3852" style="ACTLinkPLCtoPLC">
                          <ital>Practice note, Governing law and jurisdiction clauses</ital>
                        </link>
                        .
                      </paratext>
                    </para>
                  </list.item>
                  <list.item>
                    <para>
                      <paratext>
                        <link anchor="a783056" href="w-014-1583" style="ACTLinkPLCtoPLC">
                          <ital>Practice note, Boilerplate: do I really need this clause and why? Jurisdiction</ital>
                        </link>
                         and 
                        <link anchor="a997113" href="w-014-1583" style="ACTLinkPLCtoPLC">
                          <ital>Service of process</ital>
                        </link>
                        .
                      </paratext>
                    </para>
                  </list.item>
                </list>
              </division>
            </drafting.note>
            <subclause1 id="a379488">
              <para>
                <paratext>
                  Each party irrevocably agrees that the courts of England and Wales shall have [exclusive 
                  <bold>OR</bold>
                   non-exclusive] jurisdiction to settle any dispute or claim (including non-contractual disputes or claims), arising out of or in connection with this Agreement or its subject matter or formation.
                </paratext>
              </para>
            </subclause1>
          </clause>
        </operative>
        <testimonium default="false" wording="contract">
          <para>
            <paratext>This Agreement has been entered into on the date stated at the beginning of it.</paratext>
          </para>
        </testimonium>
        <disclosure.schedule>
          <schedule id="a887909">
            <identifier>Schedule 1</identifier>
            <head align="left" preservecase="true">
              <headtext>Key legislative provisions and authoritative guidance</headtext>
            </head>
            <drafting.note id="a984608" jurisdiction="">
              <head align="left" preservecase="true">
                <headtext>Key legislative provisions and authoritative guidance</headtext>
              </head>
              <division id="a000065" level="1">
                <para>
                  <paratext>Include, for example, key legislative provisions, national data protection laws, relevant industry codes of practice and conduct, authoritative guidance.</paratext>
                </para>
                <para>
                  <paratext>
                    See 
                    <internal.reference refid="a801110">Clause 3</internal.reference>
                     and 
                    <internal.reference refid="a619716">Drafting note, Complying with the UK GDPR and other national data protection laws</internal.reference>
                    .
                  </paratext>
                </para>
              </division>
            </drafting.note>
          </schedule>
          <schedule id="a499381">
            <identifier>Schedule 2</identifier>
            <head align="left" preservecase="true">
              <headtext>Purpose</headtext>
            </head>
            <drafting.note id="a229496" jurisdiction="">
              <head align="left" preservecase="true">
                <headtext>Purpose</headtext>
              </head>
              <division id="a000066" level="1">
                <para>
                  <paratext>
                    See 
                    <internal.reference refid="a601079">clause 2.3</internal.reference>
                     of this Agreement and 
                    <internal.reference refid="a665474">Drafting note, Purpose limitation</internal.reference>
                     for more information.
                  </paratext>
                </para>
              </division>
            </drafting.note>
          </schedule>
          <schedule id="a536811">
            <identifier>Schedule 3</identifier>
            <head align="left" preservecase="true">
              <headtext>Copy of registration</headtext>
            </head>
            <drafting.note id="a149993" jurisdiction="">
              <head align="left" preservecase="true">
                <headtext>Copy of registration or evidence of fees paid</headtext>
              </head>
              <division id="a000067" level="1">
                <para>
                  <paratext>
                    See 
                    <internal.reference refid="a248902">clause 3.3</internal.reference>
                     of this Agreement for more information.
                  </paratext>
                </para>
              </division>
            </drafting.note>
          </schedule>
          <schedule id="a644212">
            <identifier>Schedule 4</identifier>
            <head align="left" preservecase="true">
              <headtext>Further detail on Shared Personal Data and access and processing restrictions</headtext>
            </head>
            <drafting.note id="a510522" jurisdiction="">
              <head align="left" preservecase="true">
                <headtext>Further detail on Shared Personal Data and access and processing restrictions</headtext>
              </head>
              <division id="a000068" level="1">
                <para>
                  <paratext>
                    See 
                    <internal.reference refid="a535883">clause 4.3</internal.reference>
                     for more information.
                  </paratext>
                </para>
                <para>
                  <paratext>Include detail of the Personal Data and Special Categories of Personal Data and Criminal Offence Data that comprises the Shared Personal Data and access and processing restrictions</paratext>
                </para>
              </division>
            </drafting.note>
          </schedule>
          <schedule id="a870715">
            <identifier>Schedule 5</identifier>
            <head align="left" preservecase="true">
              <headtext>Data subject's consent form</headtext>
            </head>
            <drafting.note id="a112225" jurisdiction="">
              <head align="left" preservecase="true">
                <headtext>Data subject's consent form</headtext>
              </head>
              <division id="a000069" level="1">
                <para>
                  <paratext>
                    For more information see 
                    <internal.reference refid="a656048">clause 5.2</internal.reference>
                     of this Agreement.
                  </paratext>
                </para>
              </division>
            </drafting.note>
          </schedule>
          <schedule id="a855934">
            <identifier>Schedule 6</identifier>
            <head align="left" preservecase="true">
              <headtext>Data quality and compatible datasets</headtext>
            </head>
            <drafting.note id="a710883" jurisdiction="">
              <head align="left" preservecase="true">
                <headtext>Data quality and compatible datasets</headtext>
              </head>
              <division id="a000070" level="1">
                <para>
                  <paratext>
                    For more information see 
                    <internal.reference refid="a426835">clause 6</internal.reference>
                    <ital>.</ital>
                     of this Agreement.
                  </paratext>
                </para>
              </division>
            </drafting.note>
          </schedule>
          <schedule id="a725003">
            <identifier>Schedule 7</identifier>
            <head align="left" preservecase="true">
              <headtext>Types of data that will be released in response to Subjects Rights Requests</headtext>
            </head>
            <drafting.note id="a409658" jurisdiction="">
              <head align="left" preservecase="true">
                <headtext>Types of data that will be released in response to Subject Rights Requests</headtext>
              </head>
              <division id="a000071" level="1">
                <para>
                  <paratext>
                    See 
                    <internal.reference refid="a187657">clause 7</internal.reference>
                     of this Agreement for more information.
                  </paratext>
                </para>
              </division>
            </drafting.note>
          </schedule>
          <schedule id="a676184">
            <identifier>Schedule 8</identifier>
            <head align="left" preservecase="true">
              <headtext>Deletion procedure</headtext>
            </head>
            <drafting.note id="a879659" jurisdiction="">
              <head align="left" preservecase="true">
                <headtext>Deletion procedure</headtext>
              </head>
              <division id="a000072" level="1">
                <para>
                  <paratext>
                    See 
                    <internal.reference refid="a730569">clause 8.3</internal.reference>
                     of this Agreement for more information.
                  </paratext>
                </para>
              </division>
            </drafting.note>
          </schedule>
          <schedule id="a658256">
            <identifier>Schedule 9</identifier>
            <head align="left" preservecase="true">
              <headtext>Appropriate technical and organisational security measures</headtext>
            </head>
            <drafting.note id="a916535" jurisdiction="">
              <head align="left" preservecase="true">
                <headtext>Appropriate technical and organisational security measures</headtext>
              </head>
              <division id="a000073" level="1">
                <para>
                  <paratext>
                    See 
                    <internal.reference refid="a507947">clause 10</internal.reference>
                     of this Agreement for more information.
                  </paratext>
                </para>
              </division>
            </drafting.note>
          </schedule>
          <schedule id="a607933">
            <identifier>Schedule 10</identifier>
            <head align="left" preservecase="true">
              <headtext>Data sharing request form</headtext>
            </head>
            <drafting.note id="a129447" jurisdiction="">
              <head align="left" preservecase="true">
                <headtext>Data sharing request form</headtext>
              </head>
              <division id="a000074" level="1">
                <para>
                  <paratext>
                    See 
                    <internal.reference refid="a842683">clause 12.1</internal.reference>
                     of this Agreement and drafting note for more information.
                  </paratext>
                </para>
              </division>
            </drafting.note>
          </schedule>
          <schedule id="a573170">
            <identifier>Schedule 11</identifier>
            <head align="left" preservecase="true">
              <headtext>Data sharing decision form</headtext>
            </head>
            <drafting.note id="a751575" jurisdiction="">
              <head align="left" preservecase="true">
                <headtext>Data sharing decision form</headtext>
              </head>
              <division id="a000075" level="1">
                <para>
                  <paratext>
                    See 
                    <internal.reference refid="a842683">clause 12.1</internal.reference>
                     of this Agreement and drafting note for more information.
                  </paratext>
                </para>
              </division>
            </drafting.note>
          </schedule>
        </disclosure.schedule>
        <signature default="true" pagebreak="true" signaturemessage="no">
          <para>
            <paratext>
              <table frame="none" pgwide="1">
                <tgroup cols="3">
                  <colspec colname="1" colnum="1" colwidth="64"/>
                  <colspec colname="2" colnum="2" colwidth="3"/>
                  <colspec colname="3" colnum="3" colwidth="31"/>
                  <tbody>
                    <row>
                      <entry valign="top">
                        <para align="left">
                          <paratext>Signed by [NAME OF DIRECTOR]</paratext>
                        </para>
                      </entry>
                      <entry valign="top">
                        <para>
                          <paratext/>
                        </para>
                      </entry>
                      <entry valign="top">
                        <para align="left">
                          <paratext>……………….………….…….….</paratext>
                        </para>
                      </entry>
                    </row>
                    <row>
                      <entry valign="top">
                        <para align="left">
                          <paratext>
                            for and on behalf of [NAME OF 
                            <bold>Data Discloser</bold>
                            ]
                          </paratext>
                        </para>
                      </entry>
                      <entry valign="top">
                        <para>
                          <paratext/>
                        </para>
                      </entry>
                      <entry valign="top">
                        <para align="left">
                          <paratext>Director</paratext>
                        </para>
                      </entry>
                    </row>
                  </tbody>
                </tgroup>
              </table>
              <table frame="none" pgwide="1">
                <tgroup cols="3">
                  <colspec colname="1" colnum="1" colwidth="64"/>
                  <colspec colname="2" colnum="2" colwidth="4"/>
                  <colspec colname="3" colnum="3" colwidth="31"/>
                  <tbody>
                    <row>
                      <entry valign="top">
                        <para align="left">
                          <paratext>Signed by [NAME OF DIRECTOR]</paratext>
                        </para>
                      </entry>
                      <entry valign="top">
                        <para>
                          <paratext/>
                        </para>
                      </entry>
                      <entry valign="top">
                        <para align="left">
                          <paratext>……………….………….…….….</paratext>
                        </para>
                      </entry>
                    </row>
                    <row>
                      <entry valign="top">
                        <para align="left">
                          <paratext>
                            for and on behalf of [NAME OF 
                            <bold>Data Receiver</bold>
                            ]
                          </paratext>
                        </para>
                      </entry>
                      <entry valign="top">
                        <para>
                          <paratext/>
                        </para>
                      </entry>
                      <entry valign="top">
                        <para align="left">
                          <paratext>Director</paratext>
                        </para>
                      </entry>
                    </row>
                  </tbody>
                </tgroup>
              </table>
              <table frame="none" pgwide="1">
                <tgroup cols="3">
                  <colspec colname="1" colnum="1" colwidth="64"/>
                  <colspec colname="2" colnum="2" colwidth="4"/>
                  <colspec colname="3" colnum="3" colwidth="31"/>
                  <tbody>
                    <row>
                      <entry valign="top">
                        <para align="left">
                          <paratext>Signed by [NAME OF DIRECTOR]</paratext>
                        </para>
                      </entry>
                      <entry valign="top">
                        <para>
                          <paratext/>
                        </para>
                      </entry>
                      <entry valign="top">
                        <para align="left">
                          <paratext>……………….………….…….….</paratext>
                        </para>
                      </entry>
                    </row>
                    <row>
                      <entry valign="top">
                        <para align="left">
                          <paratext>
                            for and on behalf of [NAME OF 
                            <bold>Data Receiver</bold>
                            ]
                          </paratext>
                        </para>
                      </entry>
                      <entry valign="top">
                        <para>
                          <paratext/>
                        </para>
                      </entry>
                      <entry valign="top">
                        <para align="left">
                          <paratext>Director</paratext>
                        </para>
                      </entry>
                    </row>
                  </tbody>
                </tgroup>
              </table>
              <table frame="none" pgwide="1">
                <tgroup cols="3">
                  <colspec colname="1" colnum="1" colwidth="64"/>
                  <colspec colname="2" colnum="2" colwidth="4"/>
                  <colspec colname="3" colnum="3" colwidth="31"/>
                  <tbody>
                    <row>
                      <entry valign="top">
                        <para align="left">
                          <paratext>Signed by [NAME OF DIRECTOR]</paratext>
                        </para>
                      </entry>
                      <entry valign="top">
                        <para>
                          <paratext/>
                        </para>
                      </entry>
                      <entry valign="top">
                        <para align="left">
                          <paratext>……………….………….…….….</paratext>
                        </para>
                      </entry>
                    </row>
                    <row>
                      <entry valign="top">
                        <para align="left">
                          <paratext>
                            for and on behalf of [NAME OF 
                            <bold>Data Receiver</bold>
                            ]
                          </paratext>
                        </para>
                      </entry>
                      <entry valign="top">
                        <para>
                          <paratext/>
                        </para>
                      </entry>
                      <entry valign="top">
                        <para align="left">
                          <paratext>Director</paratext>
                        </para>
                      </entry>
                    </row>
                  </tbody>
                </tgroup>
              </table>
            </paratext>
          </para>
        </signature>
      </body>
      <rev.history>
        <rev.item>
          <rev.title>Carry-over motion of the Data Protection and Digital Information Bill</rev.title>
          <rev.date>20231113</rev.date>
          <rev.author>Practical Law Data Protection</rev.author>
          <rev.body>
            <division id="a000001" level="1">
              <para>
                <paratext>
                  We have updated the drafting note 
                  <internal.reference refid="a996573">Drafting note, DCMS Adequacy decisions (Data Adequacy Partnerships) under UK GDPR</internal.reference>
                   to include the announcement in the King's Speech on 7 November 2023 of the carry-over motion into the 2023-2024 parliamentary session of the Data Protection and Digital Information Bill.
                </paratext>
              </para>
            </division>
          </rev.body>
        </rev.item>
        <rev.item>
          <rev.title>Re-introduction into Parliament of Data Protection and Digital Information (No 2) Bill</rev.title>
          <rev.date>20230526</rev.date>
          <rev.author>Practical Law Data Protection</rev.author>
          <rev.body>
            <division id="a000002" level="1">
              <para>
                <paratext>
                  We have updated 
                  <internal.reference refid="a996573">Drafting note, DCMS Adequacy decisions (Data Adequacy Partnerships) under UK GDPR</internal.reference>
                     to include the re-introduction into Parliament of the Data Protection and Digital Information (No. 2) Bill
                </paratext>
              </para>
            </division>
          </rev.body>
        </rev.item>
        <rev.item>
          <rev.title>ICO publishes updated guidance on international data transfers and Transfer Risk Assessment</rev.title>
          <rev.date>20230117</rev.date>
          <rev.author>Practical Law Data Protection</rev.author>
          <rev.body>
            <division id="a000003" level="1">
              <para>
                <paratext>
                  We have updated the 
                  <internal.reference refid="a821134">Drafting note, ICO International Data Transfer Agreement (IDTA) and addendum to EU standard contractual clauses (EU SCCs) under UK GDPR</internal.reference>
                   to include the ICO publishing its updated guidance on international data transfers, including a Transfer Risk Assessment.
                </paratext>
              </para>
            </division>
          </rev.body>
        </rev.item>
        <rev.item>
          <rev.title>ICO's updated Direct marketing resources</rev.title>
          <rev.date>20230113</rev.date>
          <rev.author>Practical Law Data Protection</rev.author>
          <rev.body>
            <division id="a000004" level="1">
              <para>
                <paratext>
                  We have updated the 
                  <internal.reference refid="a384899">Drafting note, Direct marketing (optional clause)</internal.reference>
                   to include the ICO's updated direct marketing resources published in December 2022.
                </paratext>
              </para>
            </division>
          </rev.body>
        </rev.item>
        <rev.item>
          <rev.title>ICO consultation on updated draft anonymization, pseudonymisation and PETS guidance</rev.title>
          <rev.date>20230113</rev.date>
          <rev.author>Practical Law Data Protection</rev.author>
          <rev.body>
            <division id="a000005" level="1">
              <para>
                <paratext>
                  We have updated 
                  <internal.reference refid="a706608">Drafting note, Anonymisation and pseudonymisation</internal.reference>
                   to include the ICO's consultation on its draft anonymisation, pseudonymisation and PETs guidance.
                </paratext>
              </para>
            </division>
          </rev.body>
        </rev.item>
        <rev.item>
          <rev.title>Proposals in the Queen's Speech May 2022: Data Reform Bill</rev.title>
          <rev.date>20220526</rev.date>
          <rev.author>Practical Law Data Protection</rev.author>
          <rev.body>
            <division id="a000006" level="1">
              <para>
                <paratext>
                  We have updated the section 
                  <internal.reference refid="a996573">Drafting note, DCMS Adequacy decisions (Data Adequacy Partnerships) under UK GDPR</internal.reference>
                   to include the government's proposed Data Reform Bill.
                </paratext>
              </para>
            </division>
          </rev.body>
        </rev.item>
        <rev.item>
          <rev.title>ICO International Data Transfer Agreement (IDTA) and addendum to EU SCCs coming into force</rev.title>
          <rev.date>20220517</rev.date>
          <rev.author>Practical Law Data Protection</rev.author>
          <rev.body>
            <division id="a000007" level="1">
              <para>
                <paratext>
                  We have updated 
                  <internal.reference refid="a887173">Drafting note, Transfers from the UK to third countries under UK GDPR</internal.reference>
                   to reflect the Information Commissioner's International Data Transfer Agreement (IDTA) and addendum to EU standard contractual clauses (EU SCCs) coming into force on 21 March 2022.
                </paratext>
              </para>
            </division>
          </rev.body>
        </rev.item>
        <rev.item>
          <rev.title>European Commission's standard contractual clauses coming into force</rev.title>
          <rev.date>20220517</rev.date>
          <rev.author>Practical Law Data Protection</rev.author>
          <rev.body>
            <division id="a000008" level="1">
              <para>
                <paratext>
                  We have updated 
                  <internal.reference refid="a584150">Drafting note, Transfers</internal.reference>
                   to reflect the European Commission's standard contractual clauses (EU SCCs) made under the EU GDPR coming into force on 21 June 2021.
                </paratext>
              </para>
            </division>
          </rev.body>
        </rev.item>
        <rev.item>
          <rev.title>DCMS consultation on the future of the UK data protection regime</rev.title>
          <rev.date>20220126</rev.date>
          <rev.author>Practical Law Data Protection</rev.author>
          <rev.body>
            <division id="a000009" level="1">
              <para>
                <paratext>We have updated the drafting notes to include the DCMS' consultation, "Data: a new direction".</paratext>
              </para>
            </division>
          </rev.body>
        </rev.item>
        <rev.item>
          <rev.title>ICO Data sharing code of practice 2021 coming into force</rev.title>
          <rev.date>20211125</rev.date>
          <rev.author>Practical Law Data Protection</rev.author>
          <rev.body>
            <division id="a000010" level="1">
              <para>
                <paratext>We have updated this resource to reflect the Information Commissioner's Data sharing code of practice 2021, which came into force on 5 October 2021</paratext>
              </para>
            </division>
          </rev.body>
        </rev.item>
        <rev.item>
          <rev.title>Post-Brexit transition period data protection legislation</rev.title>
          <rev.date>20210511</rev.date>
          <rev.author>Practical Law Data Protection</rev.author>
          <rev.body>
            <division id="a000011" level="1">
              <para>
                <paratext>We have updated the resource to reflect UK data protection legislation from 1 January 2021.</paratext>
              </para>
            </division>
          </rev.body>
        </rev.item>
        <rev.item>
          <rev.title>Commission Decision 2010/87/EU on controller to processor standard contractual clauses valid but EU-US Privacy Shield invalid (ECJ preliminary ruling)</rev.title>
          <rev.date>20200910</rev.date>
          <rev.author>Practical Law Data Protection</rev.author>
          <rev.body>
            <division id="a000012" level="1">
              <para>
                <paratext>
                  We have amended drafting notes in 
                  <internal.reference refid="a946998">clause 9</internal.reference>
                   to refer to the ECJ’s preliminary ruling in Data Protection Commissioner v Facebook Ireland and Maximillian Schrems (Case C-311/18) EU:C:2020:559 (commonly referred to as Schrems II) of 16 July 2020.
                </paratext>
              </para>
            </division>
          </rev.body>
        </rev.item>
        <rev.item>
          <rev.title>Brexit and data protection</rev.title>
          <rev.date>20200131</rev.date>
          <rev.author>Practical Law Data Protection</rev.author>
          <rev.body>
            <division id="a000013" level="1">
              <para>
                <paratext>
                  We have updated the sections on 
                  <internal.reference refid="a775540">Drafting note, Review of the E-Privacy Directive and Brexit</internal.reference>
                   and 
                  <internal.reference refid="a260443">Drafting note, Review of the E-Privacy Directive and Brexit</internal.reference>
                   to refer to the position following the UK's exit from the EU on 31 January 2020 and to the data protection legislation that will take effect at the end of the transition period
                </paratext>
              </para>
            </division>
          </rev.body>
        </rev.item>
        <rev.item>
          <rev.title>Drafting for Brexit (March 2017)</rev.title>
          <rev.date>20170301</rev.date>
          <rev.author>Practical Law Data Protection</rev.author>
          <rev.body>
            <division id="a000014" level="1">
              <para>
                <paratext>We have added a new sub-section to the integrated drafting note About this document headed "Drafting for Brexit" in the light of the UK's notice under Article 50 of the Treaty on European Union, which was given on 29 March 2017</paratext>
              </para>
            </division>
          </rev.body>
        </rev.item>
      </rev.history>
    </standard.doc>
  </n-docbody>
</n-document>
</file>

<file path=customXml/item4.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2989A208-B3FC-4693-AFF1-01CB4DADE554}">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F6A983B0-E261-4C98-85EA-9AA0DE7094AE}">
  <ds:schemaRefs>
    <ds:schemaRef ds:uri="http://schemas.microsoft.com/2004/VisualStudio/Tools/Applications/CachedDataManifest.xsd"/>
  </ds:schemaRefs>
</ds:datastoreItem>
</file>

<file path=customXml/itemProps3.xml><?xml version="1.0" encoding="utf-8"?>
<ds:datastoreItem xmlns:ds="http://schemas.openxmlformats.org/officeDocument/2006/customXml" ds:itemID="{5093C37B-DE7F-46A2-A555-4055141B1D1D}">
  <ds:schemaRefs>
    <ds:schemaRef ds:uri="http://www.w3.org/2001/XMLSchema"/>
  </ds:schemaRefs>
</ds:datastoreItem>
</file>

<file path=customXml/itemProps4.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5489</Words>
  <Characters>31288</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ThomsonReuters</Company>
  <LinksUpToDate>false</LinksUpToDate>
  <CharactersWithSpaces>36704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uc217199</dc:creator>
  <cp:lastModifiedBy>Marc Caldecott</cp:lastModifiedBy>
  <cp:revision>4</cp:revision>
  <cp:lastPrinted>2020-01-23T19:04:00Z</cp:lastPrinted>
  <dcterms:created xsi:type="dcterms:W3CDTF">2024-08-12T10:17:00Z</dcterms:created>
  <dcterms:modified xsi:type="dcterms:W3CDTF">2025-02-26T11:07:00Z</dcterms:modified>
</cp:coreProperties>
</file>